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8272" w14:textId="3198E451" w:rsidR="000719DE" w:rsidRPr="000719DE" w:rsidRDefault="00F72E8E" w:rsidP="008B2912">
      <w:pPr>
        <w:spacing w:before="120"/>
        <w:jc w:val="center"/>
        <w:rPr>
          <w:rFonts w:asciiTheme="minorHAnsi" w:hAnsiTheme="minorHAnsi"/>
          <w:b/>
          <w:sz w:val="36"/>
          <w:szCs w:val="22"/>
        </w:rPr>
      </w:pPr>
      <w:r>
        <w:rPr>
          <w:rFonts w:asciiTheme="minorHAnsi" w:hAnsiTheme="minorHAnsi"/>
          <w:b/>
          <w:sz w:val="36"/>
          <w:szCs w:val="22"/>
        </w:rPr>
        <w:t>„Wilder Einkauf“ von</w:t>
      </w:r>
      <w:r w:rsidR="000719DE" w:rsidRPr="000719DE">
        <w:rPr>
          <w:rFonts w:asciiTheme="minorHAnsi" w:hAnsiTheme="minorHAnsi"/>
          <w:b/>
          <w:sz w:val="36"/>
          <w:szCs w:val="22"/>
        </w:rPr>
        <w:t xml:space="preserve"> Hotel</w:t>
      </w:r>
      <w:r>
        <w:rPr>
          <w:rFonts w:asciiTheme="minorHAnsi" w:hAnsiTheme="minorHAnsi"/>
          <w:b/>
          <w:sz w:val="36"/>
          <w:szCs w:val="22"/>
        </w:rPr>
        <w:t>übernachtungen</w:t>
      </w:r>
      <w:r w:rsidR="008B2912">
        <w:rPr>
          <w:rFonts w:asciiTheme="minorHAnsi" w:hAnsiTheme="minorHAnsi"/>
          <w:b/>
          <w:sz w:val="36"/>
          <w:szCs w:val="22"/>
        </w:rPr>
        <w:t xml:space="preserve"> </w:t>
      </w:r>
      <w:r>
        <w:rPr>
          <w:rFonts w:asciiTheme="minorHAnsi" w:hAnsiTheme="minorHAnsi"/>
          <w:b/>
          <w:sz w:val="36"/>
          <w:szCs w:val="22"/>
        </w:rPr>
        <w:t>immer</w:t>
      </w:r>
      <w:r w:rsidR="008B2912">
        <w:rPr>
          <w:rFonts w:asciiTheme="minorHAnsi" w:hAnsiTheme="minorHAnsi"/>
          <w:b/>
          <w:sz w:val="36"/>
          <w:szCs w:val="22"/>
        </w:rPr>
        <w:t> noch </w:t>
      </w:r>
      <w:r>
        <w:rPr>
          <w:rFonts w:asciiTheme="minorHAnsi" w:hAnsiTheme="minorHAnsi"/>
          <w:b/>
          <w:sz w:val="36"/>
          <w:szCs w:val="22"/>
        </w:rPr>
        <w:t>ein</w:t>
      </w:r>
      <w:r w:rsidR="008B2912">
        <w:rPr>
          <w:rFonts w:asciiTheme="minorHAnsi" w:hAnsiTheme="minorHAnsi"/>
          <w:b/>
          <w:sz w:val="36"/>
          <w:szCs w:val="22"/>
        </w:rPr>
        <w:t> </w:t>
      </w:r>
      <w:r>
        <w:rPr>
          <w:rFonts w:asciiTheme="minorHAnsi" w:hAnsiTheme="minorHAnsi"/>
          <w:b/>
          <w:sz w:val="36"/>
          <w:szCs w:val="22"/>
        </w:rPr>
        <w:t>Problem</w:t>
      </w:r>
    </w:p>
    <w:p w14:paraId="38FA1313" w14:textId="0214714C" w:rsidR="000719DE" w:rsidRPr="00F72E8E" w:rsidRDefault="00872CE0" w:rsidP="00F72E8E">
      <w:pPr>
        <w:spacing w:before="120"/>
        <w:jc w:val="center"/>
        <w:rPr>
          <w:rFonts w:asciiTheme="majorHAnsi" w:hAnsiTheme="majorHAnsi"/>
          <w:i/>
          <w:sz w:val="28"/>
          <w:szCs w:val="22"/>
        </w:rPr>
      </w:pPr>
      <w:r w:rsidRPr="00F72E8E">
        <w:rPr>
          <w:rFonts w:asciiTheme="majorHAnsi" w:hAnsiTheme="majorHAnsi"/>
          <w:i/>
          <w:sz w:val="28"/>
          <w:szCs w:val="22"/>
        </w:rPr>
        <w:t>Egencia-Studie enthüllt</w:t>
      </w:r>
      <w:r w:rsidR="000864AA">
        <w:rPr>
          <w:rFonts w:asciiTheme="majorHAnsi" w:hAnsiTheme="majorHAnsi"/>
          <w:i/>
          <w:sz w:val="28"/>
          <w:szCs w:val="22"/>
        </w:rPr>
        <w:t>,</w:t>
      </w:r>
      <w:r w:rsidR="00F72E8E" w:rsidRPr="00F72E8E">
        <w:rPr>
          <w:rFonts w:asciiTheme="majorHAnsi" w:hAnsiTheme="majorHAnsi"/>
          <w:i/>
          <w:sz w:val="28"/>
          <w:szCs w:val="22"/>
        </w:rPr>
        <w:t xml:space="preserve"> was Geschäftsre</w:t>
      </w:r>
      <w:r w:rsidR="00F72E8E">
        <w:rPr>
          <w:rFonts w:asciiTheme="majorHAnsi" w:hAnsiTheme="majorHAnsi"/>
          <w:i/>
          <w:sz w:val="28"/>
          <w:szCs w:val="22"/>
        </w:rPr>
        <w:t>isende zum Buchen außerhalb der Reise</w:t>
      </w:r>
      <w:r w:rsidR="00F72E8E" w:rsidRPr="00F72E8E">
        <w:rPr>
          <w:rFonts w:asciiTheme="majorHAnsi" w:hAnsiTheme="majorHAnsi"/>
          <w:i/>
          <w:sz w:val="28"/>
          <w:szCs w:val="22"/>
        </w:rPr>
        <w:t xml:space="preserve">richtlinien </w:t>
      </w:r>
      <w:r w:rsidR="00F72E8E">
        <w:rPr>
          <w:rFonts w:asciiTheme="majorHAnsi" w:hAnsiTheme="majorHAnsi"/>
          <w:i/>
          <w:sz w:val="28"/>
          <w:szCs w:val="22"/>
        </w:rPr>
        <w:t>verleitet</w:t>
      </w:r>
    </w:p>
    <w:p w14:paraId="6CBA9A90" w14:textId="77777777" w:rsidR="00661840" w:rsidRPr="00F72E8E" w:rsidRDefault="00661840" w:rsidP="00A62372">
      <w:pPr>
        <w:spacing w:before="0"/>
        <w:jc w:val="center"/>
        <w:rPr>
          <w:rFonts w:asciiTheme="majorHAnsi" w:hAnsiTheme="majorHAnsi"/>
          <w:i/>
          <w:sz w:val="28"/>
          <w:szCs w:val="22"/>
        </w:rPr>
      </w:pPr>
    </w:p>
    <w:p w14:paraId="4DC87E46" w14:textId="4E55FEF0" w:rsidR="00F72E8E" w:rsidRDefault="003A7633" w:rsidP="00D3756A">
      <w:pPr>
        <w:spacing w:before="120" w:line="276" w:lineRule="auto"/>
        <w:jc w:val="both"/>
        <w:rPr>
          <w:rFonts w:asciiTheme="minorHAnsi" w:hAnsiTheme="minorHAnsi"/>
          <w:b/>
          <w:szCs w:val="22"/>
        </w:rPr>
      </w:pPr>
      <w:r w:rsidRPr="00C91AFF">
        <w:rPr>
          <w:rFonts w:asciiTheme="minorHAnsi" w:hAnsiTheme="minorHAnsi"/>
          <w:b/>
          <w:szCs w:val="22"/>
        </w:rPr>
        <w:t>München</w:t>
      </w:r>
      <w:r w:rsidR="005D7C3E" w:rsidRPr="00C91AFF">
        <w:rPr>
          <w:rFonts w:asciiTheme="minorHAnsi" w:hAnsiTheme="minorHAnsi"/>
          <w:b/>
          <w:szCs w:val="22"/>
        </w:rPr>
        <w:t xml:space="preserve">, </w:t>
      </w:r>
      <w:r w:rsidR="000719DE">
        <w:rPr>
          <w:rFonts w:asciiTheme="minorHAnsi" w:hAnsiTheme="minorHAnsi"/>
          <w:b/>
          <w:szCs w:val="22"/>
        </w:rPr>
        <w:t>1</w:t>
      </w:r>
      <w:r w:rsidR="006E0FD0">
        <w:rPr>
          <w:rFonts w:asciiTheme="minorHAnsi" w:hAnsiTheme="minorHAnsi"/>
          <w:b/>
          <w:szCs w:val="22"/>
        </w:rPr>
        <w:t>9</w:t>
      </w:r>
      <w:r w:rsidR="0017498F" w:rsidRPr="00C91AFF">
        <w:rPr>
          <w:rFonts w:asciiTheme="minorHAnsi" w:hAnsiTheme="minorHAnsi"/>
          <w:b/>
          <w:szCs w:val="22"/>
        </w:rPr>
        <w:t xml:space="preserve">. </w:t>
      </w:r>
      <w:r w:rsidR="000719DE">
        <w:rPr>
          <w:rFonts w:asciiTheme="minorHAnsi" w:hAnsiTheme="minorHAnsi"/>
          <w:b/>
          <w:szCs w:val="22"/>
        </w:rPr>
        <w:t>Okto</w:t>
      </w:r>
      <w:r w:rsidR="0017498F" w:rsidRPr="00C91AFF">
        <w:rPr>
          <w:rFonts w:asciiTheme="minorHAnsi" w:hAnsiTheme="minorHAnsi"/>
          <w:b/>
          <w:szCs w:val="22"/>
        </w:rPr>
        <w:t>ber</w:t>
      </w:r>
      <w:r w:rsidRPr="00C91AFF">
        <w:rPr>
          <w:rFonts w:asciiTheme="minorHAnsi" w:hAnsiTheme="minorHAnsi"/>
          <w:b/>
          <w:szCs w:val="22"/>
        </w:rPr>
        <w:t xml:space="preserve"> 2017</w:t>
      </w:r>
      <w:r w:rsidRPr="00C91AFF">
        <w:rPr>
          <w:rFonts w:asciiTheme="minorHAnsi" w:hAnsiTheme="minorHAnsi"/>
          <w:szCs w:val="22"/>
        </w:rPr>
        <w:t xml:space="preserve"> </w:t>
      </w:r>
      <w:r w:rsidRPr="00A141D2">
        <w:rPr>
          <w:rFonts w:asciiTheme="minorHAnsi" w:hAnsiTheme="minorHAnsi"/>
          <w:szCs w:val="22"/>
        </w:rPr>
        <w:t>–</w:t>
      </w:r>
      <w:r w:rsidR="00D84393" w:rsidRPr="00A141D2">
        <w:rPr>
          <w:rFonts w:asciiTheme="minorHAnsi" w:hAnsiTheme="minorHAnsi"/>
          <w:szCs w:val="22"/>
        </w:rPr>
        <w:t xml:space="preserve"> </w:t>
      </w:r>
      <w:r w:rsidR="00F72E8E">
        <w:rPr>
          <w:rFonts w:asciiTheme="minorHAnsi" w:hAnsiTheme="minorHAnsi"/>
          <w:b/>
          <w:szCs w:val="22"/>
        </w:rPr>
        <w:t>Der sogenannte „wilde Einkauf“, das Buchen außerhalb der Unternehmensrichtlinien, ist l</w:t>
      </w:r>
      <w:r w:rsidR="00930404" w:rsidRPr="00A141D2">
        <w:rPr>
          <w:rFonts w:asciiTheme="minorHAnsi" w:hAnsiTheme="minorHAnsi"/>
          <w:b/>
          <w:szCs w:val="22"/>
        </w:rPr>
        <w:t xml:space="preserve">aut </w:t>
      </w:r>
      <w:r w:rsidR="00F72E8E">
        <w:rPr>
          <w:rFonts w:asciiTheme="minorHAnsi" w:hAnsiTheme="minorHAnsi"/>
          <w:b/>
          <w:szCs w:val="22"/>
        </w:rPr>
        <w:t xml:space="preserve">einer Studie von </w:t>
      </w:r>
      <w:r w:rsidR="006D074A">
        <w:rPr>
          <w:rFonts w:asciiTheme="minorHAnsi" w:hAnsiTheme="minorHAnsi"/>
          <w:b/>
          <w:szCs w:val="22"/>
        </w:rPr>
        <w:t xml:space="preserve">Egencia®, dem </w:t>
      </w:r>
      <w:r w:rsidR="00930404" w:rsidRPr="00A141D2">
        <w:rPr>
          <w:rFonts w:asciiTheme="minorHAnsi" w:hAnsiTheme="minorHAnsi"/>
          <w:b/>
          <w:szCs w:val="22"/>
        </w:rPr>
        <w:t xml:space="preserve">Geschäftsreisespezialisten der Expedia-Gruppe, </w:t>
      </w:r>
      <w:r w:rsidR="00F72E8E">
        <w:rPr>
          <w:rFonts w:asciiTheme="minorHAnsi" w:hAnsiTheme="minorHAnsi"/>
          <w:b/>
          <w:szCs w:val="22"/>
        </w:rPr>
        <w:t xml:space="preserve">immer noch ein </w:t>
      </w:r>
      <w:r w:rsidR="008B2912">
        <w:rPr>
          <w:rFonts w:asciiTheme="minorHAnsi" w:hAnsiTheme="minorHAnsi"/>
          <w:b/>
          <w:szCs w:val="22"/>
        </w:rPr>
        <w:t>Problem für</w:t>
      </w:r>
      <w:r w:rsidR="00F72E8E">
        <w:rPr>
          <w:rFonts w:asciiTheme="minorHAnsi" w:hAnsiTheme="minorHAnsi"/>
          <w:b/>
          <w:szCs w:val="22"/>
        </w:rPr>
        <w:t xml:space="preserve"> Unternehmen</w:t>
      </w:r>
      <w:r w:rsidR="00F72E8E" w:rsidRPr="00F72E8E">
        <w:rPr>
          <w:rFonts w:asciiTheme="minorHAnsi" w:hAnsiTheme="minorHAnsi"/>
          <w:b/>
          <w:szCs w:val="22"/>
        </w:rPr>
        <w:t>, insbesondere wenn es um Hotel</w:t>
      </w:r>
      <w:r w:rsidR="00F72E8E">
        <w:rPr>
          <w:rFonts w:asciiTheme="minorHAnsi" w:hAnsiTheme="minorHAnsi"/>
          <w:b/>
          <w:szCs w:val="22"/>
        </w:rPr>
        <w:t>s</w:t>
      </w:r>
      <w:r w:rsidR="00F72E8E" w:rsidRPr="00F72E8E">
        <w:rPr>
          <w:rFonts w:asciiTheme="minorHAnsi" w:hAnsiTheme="minorHAnsi"/>
          <w:b/>
          <w:szCs w:val="22"/>
        </w:rPr>
        <w:t xml:space="preserve"> geht. Während 60 Prozent der Geschäftsreisenden </w:t>
      </w:r>
      <w:r w:rsidR="00F20F03">
        <w:rPr>
          <w:rFonts w:asciiTheme="minorHAnsi" w:hAnsiTheme="minorHAnsi"/>
          <w:b/>
          <w:szCs w:val="22"/>
        </w:rPr>
        <w:t xml:space="preserve">Programme im Unternehmen </w:t>
      </w:r>
      <w:r w:rsidR="00F72E8E">
        <w:rPr>
          <w:rFonts w:asciiTheme="minorHAnsi" w:hAnsiTheme="minorHAnsi"/>
          <w:b/>
          <w:szCs w:val="22"/>
        </w:rPr>
        <w:t xml:space="preserve">haben, </w:t>
      </w:r>
      <w:r w:rsidR="00F72E8E" w:rsidRPr="00F72E8E">
        <w:rPr>
          <w:rFonts w:asciiTheme="minorHAnsi" w:hAnsiTheme="minorHAnsi"/>
          <w:b/>
          <w:szCs w:val="22"/>
        </w:rPr>
        <w:t xml:space="preserve">die Verfahren und Richtlinien für die Buchung festlegt, kann die Hälfte der Mitarbeiter dennoch </w:t>
      </w:r>
      <w:r w:rsidR="00F72E8E">
        <w:rPr>
          <w:rFonts w:asciiTheme="minorHAnsi" w:hAnsiTheme="minorHAnsi"/>
          <w:b/>
          <w:szCs w:val="22"/>
        </w:rPr>
        <w:t>über jeden beliebigen Kanal buchen. Da</w:t>
      </w:r>
      <w:r w:rsidR="00F72E8E" w:rsidRPr="00F72E8E">
        <w:rPr>
          <w:rFonts w:asciiTheme="minorHAnsi" w:hAnsiTheme="minorHAnsi"/>
          <w:b/>
          <w:szCs w:val="22"/>
        </w:rPr>
        <w:t xml:space="preserve">s sind die Ergebnisse </w:t>
      </w:r>
      <w:r w:rsidR="00F72E8E" w:rsidRPr="00A141D2">
        <w:rPr>
          <w:rFonts w:asciiTheme="minorHAnsi" w:hAnsiTheme="minorHAnsi"/>
          <w:b/>
          <w:szCs w:val="22"/>
        </w:rPr>
        <w:t>der vierten Auflage der „Business Travel und Techno</w:t>
      </w:r>
      <w:r w:rsidR="00F72E8E">
        <w:rPr>
          <w:rFonts w:asciiTheme="minorHAnsi" w:hAnsiTheme="minorHAnsi"/>
          <w:b/>
          <w:szCs w:val="22"/>
        </w:rPr>
        <w:t>logy“-Studie von</w:t>
      </w:r>
      <w:r w:rsidR="00F72E8E" w:rsidRPr="00F72E8E">
        <w:rPr>
          <w:rFonts w:asciiTheme="minorHAnsi" w:hAnsiTheme="minorHAnsi"/>
          <w:b/>
          <w:szCs w:val="22"/>
        </w:rPr>
        <w:t xml:space="preserve"> </w:t>
      </w:r>
      <w:r w:rsidR="00F72E8E">
        <w:rPr>
          <w:rFonts w:asciiTheme="minorHAnsi" w:hAnsiTheme="minorHAnsi"/>
          <w:b/>
          <w:szCs w:val="22"/>
        </w:rPr>
        <w:t xml:space="preserve">Egencia. </w:t>
      </w:r>
      <w:r w:rsidR="00F72E8E" w:rsidRPr="00F72E8E">
        <w:rPr>
          <w:rFonts w:asciiTheme="minorHAnsi" w:hAnsiTheme="minorHAnsi"/>
          <w:b/>
          <w:szCs w:val="22"/>
        </w:rPr>
        <w:t xml:space="preserve">Bei den Hotelbuchungen geben </w:t>
      </w:r>
      <w:r w:rsidR="00F72E8E">
        <w:rPr>
          <w:rFonts w:asciiTheme="minorHAnsi" w:hAnsiTheme="minorHAnsi"/>
          <w:b/>
          <w:szCs w:val="22"/>
        </w:rPr>
        <w:t>zudem</w:t>
      </w:r>
      <w:r w:rsidR="00F72E8E" w:rsidRPr="00F72E8E">
        <w:rPr>
          <w:rFonts w:asciiTheme="minorHAnsi" w:hAnsiTheme="minorHAnsi"/>
          <w:b/>
          <w:szCs w:val="22"/>
        </w:rPr>
        <w:t xml:space="preserve"> 46 Pro</w:t>
      </w:r>
      <w:r w:rsidR="00F72E8E">
        <w:rPr>
          <w:rFonts w:asciiTheme="minorHAnsi" w:hAnsiTheme="minorHAnsi"/>
          <w:b/>
          <w:szCs w:val="22"/>
        </w:rPr>
        <w:t xml:space="preserve">zent der Befragten zu, dass sie schon einmal </w:t>
      </w:r>
      <w:r w:rsidR="00F72E8E" w:rsidRPr="00F72E8E">
        <w:rPr>
          <w:rFonts w:asciiTheme="minorHAnsi" w:hAnsiTheme="minorHAnsi"/>
          <w:b/>
          <w:szCs w:val="22"/>
        </w:rPr>
        <w:t>eine Unterkunft gebucht haben, die außerhalb der Richtlinien liegt.</w:t>
      </w:r>
    </w:p>
    <w:p w14:paraId="23FAB64F" w14:textId="77777777" w:rsidR="00D3756A" w:rsidRDefault="00D3756A" w:rsidP="00D3756A">
      <w:pPr>
        <w:spacing w:before="120" w:line="276" w:lineRule="auto"/>
        <w:jc w:val="both"/>
        <w:rPr>
          <w:b/>
          <w:szCs w:val="22"/>
        </w:rPr>
      </w:pPr>
    </w:p>
    <w:p w14:paraId="1FA115EE" w14:textId="79364DA2" w:rsidR="00F72E8E" w:rsidRPr="00F72E8E" w:rsidRDefault="00676818" w:rsidP="00D3756A">
      <w:pPr>
        <w:spacing w:before="120" w:line="276" w:lineRule="auto"/>
        <w:jc w:val="both"/>
        <w:rPr>
          <w:b/>
          <w:szCs w:val="22"/>
        </w:rPr>
      </w:pPr>
      <w:r>
        <w:rPr>
          <w:b/>
          <w:szCs w:val="22"/>
        </w:rPr>
        <w:t>Wenn es um Hotels geht, schlägt Relevanz</w:t>
      </w:r>
      <w:r w:rsidR="000864AA">
        <w:rPr>
          <w:b/>
          <w:szCs w:val="22"/>
        </w:rPr>
        <w:t xml:space="preserve"> die</w:t>
      </w:r>
      <w:r>
        <w:rPr>
          <w:b/>
          <w:szCs w:val="22"/>
        </w:rPr>
        <w:t xml:space="preserve"> Anzahl</w:t>
      </w:r>
    </w:p>
    <w:p w14:paraId="01D2FE6B" w14:textId="20BC8FC6" w:rsidR="00676818" w:rsidRPr="00676818" w:rsidRDefault="00676818" w:rsidP="00D3756A">
      <w:pPr>
        <w:spacing w:before="120" w:line="276" w:lineRule="auto"/>
        <w:jc w:val="both"/>
        <w:rPr>
          <w:szCs w:val="22"/>
        </w:rPr>
      </w:pPr>
      <w:r w:rsidRPr="00676818">
        <w:rPr>
          <w:szCs w:val="22"/>
        </w:rPr>
        <w:t xml:space="preserve">Die Egencia-Studie untersucht, was Geschäftsreisende dazu </w:t>
      </w:r>
      <w:r w:rsidR="000864AA">
        <w:rPr>
          <w:szCs w:val="22"/>
        </w:rPr>
        <w:t>verleitet</w:t>
      </w:r>
      <w:r w:rsidRPr="00676818">
        <w:rPr>
          <w:szCs w:val="22"/>
        </w:rPr>
        <w:t xml:space="preserve">, </w:t>
      </w:r>
      <w:r w:rsidR="00F20F03">
        <w:rPr>
          <w:szCs w:val="22"/>
        </w:rPr>
        <w:t>außerhalb der Richtlinien zu buchen</w:t>
      </w:r>
      <w:r w:rsidRPr="00676818">
        <w:rPr>
          <w:szCs w:val="22"/>
        </w:rPr>
        <w:t xml:space="preserve"> und wie Unternehmen dies verhindern können. Wenn man bedenkt, dass </w:t>
      </w:r>
      <w:r w:rsidR="00F20F03">
        <w:rPr>
          <w:szCs w:val="22"/>
        </w:rPr>
        <w:t xml:space="preserve">weltweit </w:t>
      </w:r>
      <w:r w:rsidRPr="00676818">
        <w:rPr>
          <w:szCs w:val="22"/>
        </w:rPr>
        <w:t xml:space="preserve">die wichtigsten Gründe für </w:t>
      </w:r>
      <w:r w:rsidR="00F20F03">
        <w:rPr>
          <w:szCs w:val="22"/>
        </w:rPr>
        <w:t xml:space="preserve">das „wilde“ </w:t>
      </w:r>
      <w:r w:rsidRPr="00676818">
        <w:rPr>
          <w:szCs w:val="22"/>
        </w:rPr>
        <w:t>Buch</w:t>
      </w:r>
      <w:r w:rsidR="00F20F03">
        <w:rPr>
          <w:szCs w:val="22"/>
        </w:rPr>
        <w:t>en</w:t>
      </w:r>
      <w:r w:rsidRPr="00676818">
        <w:rPr>
          <w:szCs w:val="22"/>
        </w:rPr>
        <w:t xml:space="preserve"> von Hotels </w:t>
      </w:r>
      <w:r w:rsidR="00F20F03">
        <w:rPr>
          <w:szCs w:val="22"/>
        </w:rPr>
        <w:t xml:space="preserve">laut </w:t>
      </w:r>
      <w:r w:rsidRPr="00676818">
        <w:rPr>
          <w:szCs w:val="22"/>
        </w:rPr>
        <w:t xml:space="preserve">Egencia-Studie </w:t>
      </w:r>
      <w:r w:rsidR="008B2912">
        <w:rPr>
          <w:szCs w:val="22"/>
        </w:rPr>
        <w:t>deren</w:t>
      </w:r>
      <w:r w:rsidR="000864AA">
        <w:rPr>
          <w:szCs w:val="22"/>
        </w:rPr>
        <w:t xml:space="preserve"> </w:t>
      </w:r>
      <w:r w:rsidRPr="00676818">
        <w:rPr>
          <w:szCs w:val="22"/>
        </w:rPr>
        <w:t>Lage und Preis (beide 37 Prozent)</w:t>
      </w:r>
      <w:r w:rsidR="00F20F03">
        <w:rPr>
          <w:szCs w:val="22"/>
        </w:rPr>
        <w:t xml:space="preserve"> sind</w:t>
      </w:r>
      <w:r w:rsidRPr="00676818">
        <w:rPr>
          <w:szCs w:val="22"/>
        </w:rPr>
        <w:t xml:space="preserve">, </w:t>
      </w:r>
      <w:r w:rsidR="00F20F03">
        <w:rPr>
          <w:szCs w:val="22"/>
        </w:rPr>
        <w:t xml:space="preserve">dann </w:t>
      </w:r>
      <w:r w:rsidR="00362B4E">
        <w:rPr>
          <w:szCs w:val="22"/>
        </w:rPr>
        <w:t>kommt dem</w:t>
      </w:r>
      <w:r w:rsidR="00F20F03">
        <w:rPr>
          <w:szCs w:val="22"/>
        </w:rPr>
        <w:t xml:space="preserve"> Bereitstellen einer relevanten Auswahl </w:t>
      </w:r>
      <w:r w:rsidR="008B2912">
        <w:rPr>
          <w:szCs w:val="22"/>
        </w:rPr>
        <w:t xml:space="preserve">eine </w:t>
      </w:r>
      <w:r w:rsidRPr="00676818">
        <w:rPr>
          <w:szCs w:val="22"/>
        </w:rPr>
        <w:t>entscheidende Bedeutung</w:t>
      </w:r>
      <w:r w:rsidR="00362B4E">
        <w:rPr>
          <w:szCs w:val="22"/>
        </w:rPr>
        <w:t xml:space="preserve"> zu</w:t>
      </w:r>
      <w:r w:rsidRPr="00676818">
        <w:rPr>
          <w:szCs w:val="22"/>
        </w:rPr>
        <w:t xml:space="preserve">. Dies bedeutet </w:t>
      </w:r>
      <w:r w:rsidR="00F20F03">
        <w:rPr>
          <w:szCs w:val="22"/>
        </w:rPr>
        <w:t xml:space="preserve">aber nicht </w:t>
      </w:r>
      <w:r w:rsidRPr="00676818">
        <w:rPr>
          <w:szCs w:val="22"/>
        </w:rPr>
        <w:t>notwendigerweise</w:t>
      </w:r>
      <w:r w:rsidR="000864AA">
        <w:rPr>
          <w:szCs w:val="22"/>
        </w:rPr>
        <w:t>, das</w:t>
      </w:r>
      <w:r w:rsidR="008B2912">
        <w:rPr>
          <w:szCs w:val="22"/>
        </w:rPr>
        <w:t>s</w:t>
      </w:r>
      <w:r w:rsidR="000864AA">
        <w:rPr>
          <w:szCs w:val="22"/>
        </w:rPr>
        <w:t xml:space="preserve"> die Auswahl</w:t>
      </w:r>
      <w:r w:rsidRPr="00676818">
        <w:rPr>
          <w:szCs w:val="22"/>
        </w:rPr>
        <w:t xml:space="preserve"> Millionen von </w:t>
      </w:r>
      <w:r w:rsidR="00F20F03">
        <w:rPr>
          <w:szCs w:val="22"/>
        </w:rPr>
        <w:t>Häusern</w:t>
      </w:r>
      <w:r w:rsidR="000864AA">
        <w:rPr>
          <w:szCs w:val="22"/>
        </w:rPr>
        <w:t xml:space="preserve"> umfassen mu</w:t>
      </w:r>
      <w:r w:rsidR="00362B4E">
        <w:rPr>
          <w:szCs w:val="22"/>
        </w:rPr>
        <w:t>ss</w:t>
      </w:r>
      <w:r w:rsidRPr="00676818">
        <w:rPr>
          <w:szCs w:val="22"/>
        </w:rPr>
        <w:t>. Relevant ist ein</w:t>
      </w:r>
      <w:r w:rsidR="00F20F03">
        <w:rPr>
          <w:szCs w:val="22"/>
        </w:rPr>
        <w:t>e Unterkunft, wenn sie</w:t>
      </w:r>
      <w:r w:rsidRPr="00676818">
        <w:rPr>
          <w:szCs w:val="22"/>
        </w:rPr>
        <w:t xml:space="preserve"> auf die Bedürfnisse de</w:t>
      </w:r>
      <w:r w:rsidR="000864AA">
        <w:rPr>
          <w:szCs w:val="22"/>
        </w:rPr>
        <w:t>s</w:t>
      </w:r>
      <w:r w:rsidR="00362B4E">
        <w:rPr>
          <w:szCs w:val="22"/>
        </w:rPr>
        <w:t xml:space="preserve"> </w:t>
      </w:r>
      <w:r w:rsidRPr="00676818">
        <w:rPr>
          <w:szCs w:val="22"/>
        </w:rPr>
        <w:t>Geschäftsreisenden zugeschn</w:t>
      </w:r>
      <w:r w:rsidR="00F20F03">
        <w:rPr>
          <w:szCs w:val="22"/>
        </w:rPr>
        <w:t xml:space="preserve">itten ist, </w:t>
      </w:r>
      <w:r w:rsidR="000864AA">
        <w:rPr>
          <w:szCs w:val="22"/>
        </w:rPr>
        <w:t xml:space="preserve">also wenn </w:t>
      </w:r>
      <w:r w:rsidR="00362B4E">
        <w:rPr>
          <w:szCs w:val="22"/>
        </w:rPr>
        <w:t xml:space="preserve">beispielsweise </w:t>
      </w:r>
      <w:r w:rsidR="00F20F03">
        <w:rPr>
          <w:szCs w:val="22"/>
        </w:rPr>
        <w:t xml:space="preserve">die Lage </w:t>
      </w:r>
      <w:r w:rsidR="000864AA">
        <w:rPr>
          <w:szCs w:val="22"/>
        </w:rPr>
        <w:t>stimmt oder die Buchung flexibel storniert werden kann</w:t>
      </w:r>
      <w:r w:rsidRPr="00676818">
        <w:rPr>
          <w:szCs w:val="22"/>
        </w:rPr>
        <w:t xml:space="preserve">. Darüber hinaus erübrigen faire und wettbewerbsfähige Preise </w:t>
      </w:r>
      <w:r w:rsidR="00F20F03">
        <w:rPr>
          <w:szCs w:val="22"/>
        </w:rPr>
        <w:t>das Reservieren</w:t>
      </w:r>
      <w:r w:rsidRPr="00676818">
        <w:rPr>
          <w:szCs w:val="22"/>
        </w:rPr>
        <w:t xml:space="preserve"> außerhalb der bevorzugten Buchungskanäle des Unternehmens.</w:t>
      </w:r>
    </w:p>
    <w:p w14:paraId="1676EFC4" w14:textId="655EB6F6" w:rsidR="00177C75" w:rsidRPr="00F20F03" w:rsidRDefault="00F20F03" w:rsidP="00D3756A">
      <w:pPr>
        <w:spacing w:before="120" w:line="276" w:lineRule="auto"/>
        <w:jc w:val="both"/>
        <w:rPr>
          <w:szCs w:val="22"/>
        </w:rPr>
      </w:pPr>
      <w:r>
        <w:rPr>
          <w:szCs w:val="22"/>
        </w:rPr>
        <w:t>„</w:t>
      </w:r>
      <w:r w:rsidRPr="00F20F03">
        <w:rPr>
          <w:szCs w:val="22"/>
        </w:rPr>
        <w:t>Wenn es um Hotels geht, wissen wir, dass es nicht um</w:t>
      </w:r>
      <w:r>
        <w:rPr>
          <w:szCs w:val="22"/>
        </w:rPr>
        <w:t xml:space="preserve">s Suchen, sondern ums Finden geht“, sagt </w:t>
      </w:r>
      <w:r w:rsidRPr="00F20F03">
        <w:rPr>
          <w:szCs w:val="22"/>
        </w:rPr>
        <w:t xml:space="preserve">Andrew Dyer, </w:t>
      </w:r>
      <w:proofErr w:type="spellStart"/>
      <w:r w:rsidRPr="00F20F03">
        <w:rPr>
          <w:szCs w:val="22"/>
        </w:rPr>
        <w:t>V</w:t>
      </w:r>
      <w:r>
        <w:rPr>
          <w:szCs w:val="22"/>
        </w:rPr>
        <w:t>ice</w:t>
      </w:r>
      <w:proofErr w:type="spellEnd"/>
      <w:r>
        <w:rPr>
          <w:szCs w:val="22"/>
        </w:rPr>
        <w:t xml:space="preserve"> </w:t>
      </w:r>
      <w:proofErr w:type="spellStart"/>
      <w:r w:rsidRPr="00F20F03">
        <w:rPr>
          <w:szCs w:val="22"/>
        </w:rPr>
        <w:t>P</w:t>
      </w:r>
      <w:r>
        <w:rPr>
          <w:szCs w:val="22"/>
        </w:rPr>
        <w:t>resident</w:t>
      </w:r>
      <w:proofErr w:type="spellEnd"/>
      <w:r w:rsidRPr="00F20F03">
        <w:rPr>
          <w:szCs w:val="22"/>
        </w:rPr>
        <w:t xml:space="preserve"> Global Supply-</w:t>
      </w:r>
      <w:proofErr w:type="spellStart"/>
      <w:r w:rsidRPr="00F20F03">
        <w:rPr>
          <w:szCs w:val="22"/>
        </w:rPr>
        <w:t>Lodging</w:t>
      </w:r>
      <w:proofErr w:type="spellEnd"/>
      <w:r>
        <w:rPr>
          <w:szCs w:val="22"/>
        </w:rPr>
        <w:t xml:space="preserve"> bei Egencia</w:t>
      </w:r>
      <w:r w:rsidRPr="00F20F03">
        <w:rPr>
          <w:szCs w:val="22"/>
        </w:rPr>
        <w:t xml:space="preserve">. </w:t>
      </w:r>
      <w:r>
        <w:rPr>
          <w:szCs w:val="22"/>
        </w:rPr>
        <w:t>„</w:t>
      </w:r>
      <w:r w:rsidRPr="00F20F03">
        <w:rPr>
          <w:szCs w:val="22"/>
        </w:rPr>
        <w:t xml:space="preserve">Deshalb finden wir </w:t>
      </w:r>
      <w:r>
        <w:rPr>
          <w:szCs w:val="22"/>
        </w:rPr>
        <w:t>Wege, den Geschäftsreisenden bereits untern</w:t>
      </w:r>
      <w:r w:rsidRPr="00F20F03">
        <w:rPr>
          <w:szCs w:val="22"/>
        </w:rPr>
        <w:t xml:space="preserve"> den ersten Suchergebnissen die richtige Wahl </w:t>
      </w:r>
      <w:r>
        <w:rPr>
          <w:szCs w:val="22"/>
        </w:rPr>
        <w:t>bereitzustellen</w:t>
      </w:r>
      <w:r w:rsidRPr="00F20F03">
        <w:rPr>
          <w:szCs w:val="22"/>
        </w:rPr>
        <w:t xml:space="preserve">. Und es funktioniert </w:t>
      </w:r>
      <w:r>
        <w:rPr>
          <w:szCs w:val="22"/>
        </w:rPr>
        <w:t>–</w:t>
      </w:r>
      <w:r w:rsidRPr="00F20F03">
        <w:rPr>
          <w:szCs w:val="22"/>
        </w:rPr>
        <w:t xml:space="preserve"> 75 Prozent der Egencia-Reisenden buchen eine</w:t>
      </w:r>
      <w:r w:rsidR="000864AA">
        <w:rPr>
          <w:szCs w:val="22"/>
        </w:rPr>
        <w:t>n</w:t>
      </w:r>
      <w:r w:rsidRPr="00F20F03">
        <w:rPr>
          <w:szCs w:val="22"/>
        </w:rPr>
        <w:t xml:space="preserve"> der </w:t>
      </w:r>
      <w:r>
        <w:rPr>
          <w:szCs w:val="22"/>
        </w:rPr>
        <w:t xml:space="preserve">ersten </w:t>
      </w:r>
      <w:r w:rsidRPr="00F20F03">
        <w:rPr>
          <w:szCs w:val="22"/>
        </w:rPr>
        <w:t xml:space="preserve">sieben </w:t>
      </w:r>
      <w:r>
        <w:rPr>
          <w:szCs w:val="22"/>
        </w:rPr>
        <w:t>Hotelvorschläge</w:t>
      </w:r>
      <w:r w:rsidRPr="00F20F03">
        <w:rPr>
          <w:szCs w:val="22"/>
        </w:rPr>
        <w:t xml:space="preserve"> und mehr als die Hälfte </w:t>
      </w:r>
      <w:r w:rsidR="000864AA">
        <w:rPr>
          <w:szCs w:val="22"/>
        </w:rPr>
        <w:t xml:space="preserve">eines </w:t>
      </w:r>
      <w:r w:rsidRPr="00F20F03">
        <w:rPr>
          <w:szCs w:val="22"/>
        </w:rPr>
        <w:t>der</w:t>
      </w:r>
      <w:r>
        <w:rPr>
          <w:szCs w:val="22"/>
        </w:rPr>
        <w:t xml:space="preserve"> </w:t>
      </w:r>
      <w:r w:rsidR="000864AA">
        <w:rPr>
          <w:szCs w:val="22"/>
        </w:rPr>
        <w:t>ersten</w:t>
      </w:r>
      <w:r>
        <w:rPr>
          <w:szCs w:val="22"/>
        </w:rPr>
        <w:t xml:space="preserve"> drei Hotels. </w:t>
      </w:r>
      <w:r w:rsidRPr="00F20F03">
        <w:rPr>
          <w:szCs w:val="22"/>
        </w:rPr>
        <w:t xml:space="preserve">Reisende wünschen sich ein intuitives, geräteübergreifendes </w:t>
      </w:r>
      <w:r>
        <w:rPr>
          <w:szCs w:val="22"/>
        </w:rPr>
        <w:t>Buchungse</w:t>
      </w:r>
      <w:r w:rsidRPr="00F20F03">
        <w:rPr>
          <w:szCs w:val="22"/>
        </w:rPr>
        <w:t xml:space="preserve">rlebnis mit klaren Beschreibungen der im Preis inbegriffenen Leistungen. </w:t>
      </w:r>
      <w:r>
        <w:rPr>
          <w:szCs w:val="22"/>
        </w:rPr>
        <w:t>So</w:t>
      </w:r>
      <w:r w:rsidRPr="00F20F03">
        <w:rPr>
          <w:szCs w:val="22"/>
        </w:rPr>
        <w:t xml:space="preserve"> können sie </w:t>
      </w:r>
      <w:r>
        <w:rPr>
          <w:szCs w:val="22"/>
        </w:rPr>
        <w:t>sicher sein</w:t>
      </w:r>
      <w:r w:rsidRPr="00F20F03">
        <w:rPr>
          <w:szCs w:val="22"/>
        </w:rPr>
        <w:t>, dass sie die richtigen Unterkünfte buchen</w:t>
      </w:r>
      <w:r w:rsidR="000864AA">
        <w:rPr>
          <w:szCs w:val="22"/>
        </w:rPr>
        <w:t xml:space="preserve">. Dies </w:t>
      </w:r>
      <w:r w:rsidRPr="00F20F03">
        <w:rPr>
          <w:szCs w:val="22"/>
        </w:rPr>
        <w:t xml:space="preserve">wiederum </w:t>
      </w:r>
      <w:r w:rsidR="000864AA">
        <w:rPr>
          <w:szCs w:val="22"/>
        </w:rPr>
        <w:t xml:space="preserve">führt verstärkt dazu, dass die </w:t>
      </w:r>
      <w:r>
        <w:rPr>
          <w:szCs w:val="22"/>
        </w:rPr>
        <w:t xml:space="preserve">Richtlinien </w:t>
      </w:r>
      <w:r w:rsidR="000864AA">
        <w:rPr>
          <w:szCs w:val="22"/>
        </w:rPr>
        <w:t>eingehalten werden</w:t>
      </w:r>
      <w:r>
        <w:rPr>
          <w:szCs w:val="22"/>
        </w:rPr>
        <w:t>.“</w:t>
      </w:r>
    </w:p>
    <w:p w14:paraId="6BD90214" w14:textId="77777777" w:rsidR="00177C75" w:rsidRPr="00F20F03" w:rsidRDefault="00177C75" w:rsidP="00D3756A">
      <w:pPr>
        <w:spacing w:before="120" w:line="276" w:lineRule="auto"/>
        <w:rPr>
          <w:b/>
          <w:szCs w:val="22"/>
        </w:rPr>
      </w:pPr>
    </w:p>
    <w:p w14:paraId="7F319BDE" w14:textId="6CDCDF23" w:rsidR="00177C75" w:rsidRPr="00D74BDC" w:rsidRDefault="003B5210" w:rsidP="00D3756A">
      <w:pPr>
        <w:spacing w:before="120" w:line="276" w:lineRule="auto"/>
        <w:rPr>
          <w:b/>
          <w:szCs w:val="22"/>
        </w:rPr>
      </w:pPr>
      <w:r>
        <w:rPr>
          <w:b/>
          <w:szCs w:val="22"/>
        </w:rPr>
        <w:t xml:space="preserve">Anreize </w:t>
      </w:r>
      <w:r w:rsidR="000864AA">
        <w:rPr>
          <w:b/>
          <w:szCs w:val="22"/>
        </w:rPr>
        <w:t>die</w:t>
      </w:r>
      <w:r w:rsidR="00D74BDC" w:rsidRPr="00D74BDC">
        <w:rPr>
          <w:b/>
          <w:szCs w:val="22"/>
        </w:rPr>
        <w:t xml:space="preserve"> Richtlinien</w:t>
      </w:r>
      <w:r w:rsidR="000864AA">
        <w:rPr>
          <w:b/>
          <w:szCs w:val="22"/>
        </w:rPr>
        <w:t xml:space="preserve"> einzuhalten</w:t>
      </w:r>
    </w:p>
    <w:p w14:paraId="7BAF615A" w14:textId="14F55885" w:rsidR="00177C75" w:rsidRDefault="00D74BDC" w:rsidP="00D3756A">
      <w:pPr>
        <w:spacing w:before="120" w:line="276" w:lineRule="auto"/>
        <w:jc w:val="both"/>
        <w:rPr>
          <w:szCs w:val="22"/>
        </w:rPr>
      </w:pPr>
      <w:r w:rsidRPr="00D74BDC">
        <w:rPr>
          <w:szCs w:val="22"/>
        </w:rPr>
        <w:t xml:space="preserve">Die Studie zeigt, </w:t>
      </w:r>
      <w:r w:rsidRPr="004039A7">
        <w:rPr>
          <w:szCs w:val="22"/>
        </w:rPr>
        <w:t>dass Anreize</w:t>
      </w:r>
      <w:r w:rsidR="003B5210" w:rsidRPr="004039A7">
        <w:rPr>
          <w:szCs w:val="22"/>
        </w:rPr>
        <w:t xml:space="preserve">, innerhalb der Reiserichtlinien zu buchen, von Land zu Land unterschiedlich </w:t>
      </w:r>
      <w:r w:rsidR="004039A7" w:rsidRPr="004039A7">
        <w:rPr>
          <w:szCs w:val="22"/>
        </w:rPr>
        <w:t>gut funktionieren</w:t>
      </w:r>
      <w:r w:rsidR="003B5210" w:rsidRPr="004039A7">
        <w:rPr>
          <w:szCs w:val="22"/>
        </w:rPr>
        <w:t xml:space="preserve">. </w:t>
      </w:r>
      <w:r w:rsidRPr="004039A7">
        <w:rPr>
          <w:szCs w:val="22"/>
        </w:rPr>
        <w:t xml:space="preserve">Global gesehen, </w:t>
      </w:r>
      <w:r w:rsidR="000864AA">
        <w:rPr>
          <w:szCs w:val="22"/>
        </w:rPr>
        <w:t xml:space="preserve">ermutigen </w:t>
      </w:r>
      <w:r w:rsidRPr="004039A7">
        <w:rPr>
          <w:szCs w:val="22"/>
        </w:rPr>
        <w:t xml:space="preserve">monetäre </w:t>
      </w:r>
      <w:r w:rsidR="004039A7" w:rsidRPr="004039A7">
        <w:rPr>
          <w:szCs w:val="22"/>
        </w:rPr>
        <w:t>Leistungen Reisende am ehesten dazu, im Rahmen der Unternehmensvorgaben zu bleiben.</w:t>
      </w:r>
      <w:r w:rsidR="004039A7">
        <w:rPr>
          <w:szCs w:val="22"/>
        </w:rPr>
        <w:t xml:space="preserve"> 62 Prozent geben an</w:t>
      </w:r>
      <w:r w:rsidR="000864AA">
        <w:rPr>
          <w:szCs w:val="22"/>
        </w:rPr>
        <w:t>,</w:t>
      </w:r>
      <w:r w:rsidR="009175DC">
        <w:rPr>
          <w:szCs w:val="22"/>
        </w:rPr>
        <w:t xml:space="preserve"> sich an die Richtlinien zu halten</w:t>
      </w:r>
      <w:r w:rsidR="004039A7">
        <w:rPr>
          <w:szCs w:val="22"/>
        </w:rPr>
        <w:t xml:space="preserve">, </w:t>
      </w:r>
      <w:r w:rsidR="009175DC">
        <w:rPr>
          <w:szCs w:val="22"/>
        </w:rPr>
        <w:t>wenn sie einen Prozentsatz de</w:t>
      </w:r>
      <w:r w:rsidR="000864AA">
        <w:rPr>
          <w:szCs w:val="22"/>
        </w:rPr>
        <w:t>r</w:t>
      </w:r>
      <w:r w:rsidR="009175DC">
        <w:rPr>
          <w:szCs w:val="22"/>
        </w:rPr>
        <w:t xml:space="preserve"> </w:t>
      </w:r>
      <w:r w:rsidR="000864AA">
        <w:rPr>
          <w:szCs w:val="22"/>
        </w:rPr>
        <w:t>Einsparungen</w:t>
      </w:r>
      <w:r w:rsidR="009175DC">
        <w:rPr>
          <w:szCs w:val="22"/>
        </w:rPr>
        <w:t xml:space="preserve"> erhalten, die sie bei der Buchung </w:t>
      </w:r>
      <w:r w:rsidR="009175DC">
        <w:rPr>
          <w:szCs w:val="22"/>
        </w:rPr>
        <w:lastRenderedPageBreak/>
        <w:t xml:space="preserve">unterhalb der Obergrenze erzielen. </w:t>
      </w:r>
      <w:bookmarkStart w:id="0" w:name="_Hlk495919103"/>
      <w:r w:rsidR="009175DC">
        <w:rPr>
          <w:szCs w:val="22"/>
        </w:rPr>
        <w:t>60 Prozent würden</w:t>
      </w:r>
      <w:r w:rsidR="00D3756A">
        <w:rPr>
          <w:szCs w:val="22"/>
        </w:rPr>
        <w:t xml:space="preserve"> </w:t>
      </w:r>
      <w:r w:rsidR="007873A2">
        <w:rPr>
          <w:szCs w:val="22"/>
        </w:rPr>
        <w:t>die Vorgaben nicht missachten</w:t>
      </w:r>
      <w:r w:rsidR="009175DC">
        <w:rPr>
          <w:szCs w:val="22"/>
        </w:rPr>
        <w:t xml:space="preserve">, wenn </w:t>
      </w:r>
      <w:bookmarkEnd w:id="0"/>
      <w:r w:rsidR="009175DC">
        <w:rPr>
          <w:szCs w:val="22"/>
        </w:rPr>
        <w:t xml:space="preserve">sie einen Obolus erhalten, den sie dann für andere Reiseoptionen verwenden könnten. Auch </w:t>
      </w:r>
      <w:r w:rsidR="004F198F">
        <w:rPr>
          <w:szCs w:val="22"/>
        </w:rPr>
        <w:t>Punkte für Hotel-Treueprogramme</w:t>
      </w:r>
      <w:r w:rsidR="009175DC">
        <w:rPr>
          <w:szCs w:val="22"/>
        </w:rPr>
        <w:t xml:space="preserve"> stellen einen Anreiz da</w:t>
      </w:r>
      <w:r w:rsidR="0049114D">
        <w:rPr>
          <w:szCs w:val="22"/>
        </w:rPr>
        <w:t>r</w:t>
      </w:r>
      <w:r w:rsidR="009175DC">
        <w:rPr>
          <w:szCs w:val="22"/>
        </w:rPr>
        <w:t xml:space="preserve"> (weltweit Rang 3). </w:t>
      </w:r>
      <w:r w:rsidR="004F198F" w:rsidRPr="00D3756A">
        <w:rPr>
          <w:szCs w:val="22"/>
        </w:rPr>
        <w:t>Für a</w:t>
      </w:r>
      <w:r w:rsidR="00D3756A" w:rsidRPr="00D3756A">
        <w:rPr>
          <w:szCs w:val="22"/>
        </w:rPr>
        <w:t>merikanische Geschäftsr</w:t>
      </w:r>
      <w:r w:rsidRPr="00D3756A">
        <w:rPr>
          <w:szCs w:val="22"/>
        </w:rPr>
        <w:t xml:space="preserve">eisende </w:t>
      </w:r>
      <w:r w:rsidR="004F198F" w:rsidRPr="00D3756A">
        <w:rPr>
          <w:szCs w:val="22"/>
        </w:rPr>
        <w:t>spielen Treue</w:t>
      </w:r>
      <w:r w:rsidRPr="00D3756A">
        <w:rPr>
          <w:szCs w:val="22"/>
        </w:rPr>
        <w:t>punkte</w:t>
      </w:r>
      <w:r w:rsidR="004F198F" w:rsidRPr="00D3756A">
        <w:rPr>
          <w:szCs w:val="22"/>
        </w:rPr>
        <w:t xml:space="preserve"> eine größere Rolle, sie landen </w:t>
      </w:r>
      <w:r w:rsidR="000864AA">
        <w:rPr>
          <w:szCs w:val="22"/>
        </w:rPr>
        <w:t>dort auf</w:t>
      </w:r>
      <w:r w:rsidR="004F198F" w:rsidRPr="00D3756A">
        <w:rPr>
          <w:szCs w:val="22"/>
        </w:rPr>
        <w:t xml:space="preserve"> Platz zwei der</w:t>
      </w:r>
      <w:r w:rsidRPr="00D3756A">
        <w:rPr>
          <w:szCs w:val="22"/>
        </w:rPr>
        <w:t xml:space="preserve"> Gründe, um innerhalb der </w:t>
      </w:r>
      <w:r w:rsidR="004F198F" w:rsidRPr="00D3756A">
        <w:rPr>
          <w:szCs w:val="22"/>
        </w:rPr>
        <w:t xml:space="preserve">Unternehmenspolitik zu buchen. </w:t>
      </w:r>
      <w:r w:rsidR="00D3756A" w:rsidRPr="00D3756A">
        <w:rPr>
          <w:szCs w:val="22"/>
        </w:rPr>
        <w:t xml:space="preserve">Generell </w:t>
      </w:r>
      <w:r w:rsidR="00D3756A">
        <w:rPr>
          <w:szCs w:val="22"/>
        </w:rPr>
        <w:t xml:space="preserve">sind die Amerikaner im weltweiten Vergleich diejenigen, </w:t>
      </w:r>
      <w:r w:rsidR="000864AA">
        <w:rPr>
          <w:szCs w:val="22"/>
        </w:rPr>
        <w:t>d</w:t>
      </w:r>
      <w:r w:rsidR="00D3756A">
        <w:rPr>
          <w:szCs w:val="22"/>
        </w:rPr>
        <w:t>ie am ehesten durch Anreize innerhalb der Richtlinien bleiben würden.</w:t>
      </w:r>
      <w:r w:rsidR="00D3756A" w:rsidRPr="00D3756A">
        <w:rPr>
          <w:szCs w:val="22"/>
        </w:rPr>
        <w:t xml:space="preserve"> </w:t>
      </w:r>
    </w:p>
    <w:p w14:paraId="040F52A6" w14:textId="77777777" w:rsidR="00D3756A" w:rsidRPr="00D3756A" w:rsidRDefault="00D3756A" w:rsidP="00D3756A">
      <w:pPr>
        <w:spacing w:before="120" w:line="276" w:lineRule="auto"/>
        <w:jc w:val="both"/>
        <w:rPr>
          <w:szCs w:val="22"/>
        </w:rPr>
      </w:pPr>
    </w:p>
    <w:p w14:paraId="1236BABA" w14:textId="1DB3D9E1" w:rsidR="00177C75" w:rsidRPr="00D3756A" w:rsidRDefault="00D3756A" w:rsidP="00D3756A">
      <w:pPr>
        <w:spacing w:before="120" w:line="276" w:lineRule="auto"/>
        <w:rPr>
          <w:b/>
          <w:szCs w:val="22"/>
        </w:rPr>
      </w:pPr>
      <w:r w:rsidRPr="00D3756A">
        <w:rPr>
          <w:b/>
          <w:szCs w:val="22"/>
        </w:rPr>
        <w:t>Das Problem der Nicht-Einhaltung</w:t>
      </w:r>
    </w:p>
    <w:p w14:paraId="58A61CF4" w14:textId="134A4D72" w:rsidR="00177C75" w:rsidRPr="00362B4E" w:rsidRDefault="00D3756A" w:rsidP="005D77AE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D3756A">
        <w:rPr>
          <w:szCs w:val="22"/>
        </w:rPr>
        <w:t xml:space="preserve">Wenn Reisende sich an ein vorgeschriebenes Buchungssystem halten, können Unternehmen </w:t>
      </w:r>
      <w:r>
        <w:rPr>
          <w:szCs w:val="22"/>
        </w:rPr>
        <w:t xml:space="preserve">im Fall der Fälle </w:t>
      </w:r>
      <w:r w:rsidRPr="00D3756A">
        <w:rPr>
          <w:szCs w:val="22"/>
        </w:rPr>
        <w:t xml:space="preserve">sofort feststellen, welche Reisenden von </w:t>
      </w:r>
      <w:r>
        <w:rPr>
          <w:szCs w:val="22"/>
        </w:rPr>
        <w:t xml:space="preserve">etwaigen </w:t>
      </w:r>
      <w:r w:rsidRPr="00D3756A">
        <w:rPr>
          <w:szCs w:val="22"/>
        </w:rPr>
        <w:t xml:space="preserve">Wetter-, geopolitischen oder terroristischen Ereignissen betroffen </w:t>
      </w:r>
      <w:r>
        <w:rPr>
          <w:szCs w:val="22"/>
        </w:rPr>
        <w:t>sind</w:t>
      </w:r>
      <w:r w:rsidRPr="00D3756A">
        <w:rPr>
          <w:szCs w:val="22"/>
        </w:rPr>
        <w:t xml:space="preserve">. </w:t>
      </w:r>
      <w:r>
        <w:rPr>
          <w:szCs w:val="22"/>
        </w:rPr>
        <w:t>Das Buchen über andere Kanäle</w:t>
      </w:r>
      <w:r w:rsidRPr="00D3756A">
        <w:rPr>
          <w:szCs w:val="22"/>
        </w:rPr>
        <w:t xml:space="preserve"> schafft zusätzliche Arbeit für </w:t>
      </w:r>
      <w:r w:rsidRPr="00362B4E">
        <w:rPr>
          <w:rFonts w:asciiTheme="minorHAnsi" w:hAnsiTheme="minorHAnsi" w:cstheme="minorHAnsi"/>
          <w:szCs w:val="22"/>
        </w:rPr>
        <w:t xml:space="preserve">Sicherheitsbeauftragte, die im Krisenfall ihre Reisenden </w:t>
      </w:r>
      <w:r w:rsidR="000864AA" w:rsidRPr="00362B4E">
        <w:rPr>
          <w:rFonts w:asciiTheme="minorHAnsi" w:hAnsiTheme="minorHAnsi" w:cstheme="minorHAnsi"/>
          <w:szCs w:val="22"/>
        </w:rPr>
        <w:t xml:space="preserve">erst </w:t>
      </w:r>
      <w:r w:rsidRPr="00362B4E">
        <w:rPr>
          <w:rFonts w:asciiTheme="minorHAnsi" w:hAnsiTheme="minorHAnsi" w:cstheme="minorHAnsi"/>
          <w:szCs w:val="22"/>
        </w:rPr>
        <w:t xml:space="preserve">ausfindig machen müssen. Es stellt ebenfalls Probleme für die Abteilungen dar, die Reiseausgaben </w:t>
      </w:r>
      <w:r w:rsidR="000864AA" w:rsidRPr="00362B4E">
        <w:rPr>
          <w:rFonts w:asciiTheme="minorHAnsi" w:hAnsiTheme="minorHAnsi" w:cstheme="minorHAnsi"/>
          <w:szCs w:val="22"/>
        </w:rPr>
        <w:t>analysieren</w:t>
      </w:r>
      <w:r w:rsidRPr="00362B4E">
        <w:rPr>
          <w:rFonts w:asciiTheme="minorHAnsi" w:hAnsiTheme="minorHAnsi" w:cstheme="minorHAnsi"/>
          <w:szCs w:val="22"/>
        </w:rPr>
        <w:t xml:space="preserve">, um </w:t>
      </w:r>
      <w:r w:rsidR="005D77AE" w:rsidRPr="00362B4E">
        <w:rPr>
          <w:rFonts w:asciiTheme="minorHAnsi" w:hAnsiTheme="minorHAnsi" w:cstheme="minorHAnsi"/>
          <w:szCs w:val="22"/>
        </w:rPr>
        <w:t xml:space="preserve">Kosten </w:t>
      </w:r>
      <w:r w:rsidRPr="00362B4E">
        <w:rPr>
          <w:rFonts w:asciiTheme="minorHAnsi" w:hAnsiTheme="minorHAnsi" w:cstheme="minorHAnsi"/>
          <w:szCs w:val="22"/>
        </w:rPr>
        <w:t xml:space="preserve">zu optimieren. Der „wilde Einkauf“ </w:t>
      </w:r>
      <w:r w:rsidR="000864AA" w:rsidRPr="00362B4E">
        <w:rPr>
          <w:rFonts w:asciiTheme="minorHAnsi" w:hAnsiTheme="minorHAnsi" w:cstheme="minorHAnsi"/>
          <w:szCs w:val="22"/>
        </w:rPr>
        <w:t>erfordert</w:t>
      </w:r>
      <w:r w:rsidRPr="00362B4E">
        <w:rPr>
          <w:rFonts w:asciiTheme="minorHAnsi" w:hAnsiTheme="minorHAnsi" w:cstheme="minorHAnsi"/>
          <w:szCs w:val="22"/>
        </w:rPr>
        <w:t xml:space="preserve"> mehr Zeit</w:t>
      </w:r>
      <w:r w:rsidR="000864AA" w:rsidRPr="00362B4E">
        <w:rPr>
          <w:rFonts w:asciiTheme="minorHAnsi" w:hAnsiTheme="minorHAnsi" w:cstheme="minorHAnsi"/>
          <w:szCs w:val="22"/>
        </w:rPr>
        <w:t>,</w:t>
      </w:r>
      <w:r w:rsidRPr="00362B4E">
        <w:rPr>
          <w:rFonts w:asciiTheme="minorHAnsi" w:hAnsiTheme="minorHAnsi" w:cstheme="minorHAnsi"/>
          <w:szCs w:val="22"/>
        </w:rPr>
        <w:t xml:space="preserve"> </w:t>
      </w:r>
      <w:r w:rsidR="005D77AE" w:rsidRPr="00362B4E">
        <w:rPr>
          <w:rFonts w:asciiTheme="minorHAnsi" w:hAnsiTheme="minorHAnsi" w:cstheme="minorHAnsi"/>
          <w:szCs w:val="22"/>
        </w:rPr>
        <w:t xml:space="preserve">diese Daten zusammenzutragen und in </w:t>
      </w:r>
      <w:r w:rsidRPr="00362B4E">
        <w:rPr>
          <w:rFonts w:asciiTheme="minorHAnsi" w:hAnsiTheme="minorHAnsi" w:cstheme="minorHAnsi"/>
          <w:szCs w:val="22"/>
        </w:rPr>
        <w:t xml:space="preserve">einem Bericht zusammenzufassen. Experten sind sich einig, dass dies zu Einsparverlusten führen kann, denn laut </w:t>
      </w:r>
      <w:r w:rsidR="006579FD" w:rsidRPr="00362B4E">
        <w:rPr>
          <w:rFonts w:asciiTheme="minorHAnsi" w:hAnsiTheme="minorHAnsi" w:cstheme="minorHAnsi"/>
          <w:szCs w:val="22"/>
        </w:rPr>
        <w:t xml:space="preserve">der Global Business Travel </w:t>
      </w:r>
      <w:proofErr w:type="spellStart"/>
      <w:r w:rsidR="006579FD" w:rsidRPr="00362B4E">
        <w:rPr>
          <w:rFonts w:asciiTheme="minorHAnsi" w:hAnsiTheme="minorHAnsi" w:cstheme="minorHAnsi"/>
          <w:szCs w:val="22"/>
        </w:rPr>
        <w:t>Association</w:t>
      </w:r>
      <w:proofErr w:type="spellEnd"/>
      <w:r w:rsidR="006579FD" w:rsidRPr="00362B4E">
        <w:rPr>
          <w:rFonts w:asciiTheme="minorHAnsi" w:hAnsiTheme="minorHAnsi" w:cstheme="minorHAnsi"/>
          <w:szCs w:val="22"/>
        </w:rPr>
        <w:t xml:space="preserve"> (</w:t>
      </w:r>
      <w:r w:rsidRPr="00362B4E">
        <w:rPr>
          <w:rFonts w:asciiTheme="minorHAnsi" w:hAnsiTheme="minorHAnsi" w:cstheme="minorHAnsi"/>
          <w:szCs w:val="22"/>
        </w:rPr>
        <w:t>GBTA</w:t>
      </w:r>
      <w:r w:rsidR="006579FD" w:rsidRPr="00362B4E">
        <w:rPr>
          <w:rFonts w:asciiTheme="minorHAnsi" w:hAnsiTheme="minorHAnsi" w:cstheme="minorHAnsi"/>
          <w:szCs w:val="22"/>
        </w:rPr>
        <w:t>)</w:t>
      </w:r>
      <w:r w:rsidRPr="00362B4E">
        <w:rPr>
          <w:rFonts w:asciiTheme="minorHAnsi" w:hAnsiTheme="minorHAnsi" w:cstheme="minorHAnsi"/>
          <w:szCs w:val="22"/>
        </w:rPr>
        <w:t xml:space="preserve"> geben 79 Prozent der Travel Manager an, dass der Einsatz eines </w:t>
      </w:r>
      <w:r w:rsidR="005D77AE" w:rsidRPr="00362B4E">
        <w:rPr>
          <w:rFonts w:asciiTheme="minorHAnsi" w:hAnsiTheme="minorHAnsi" w:cstheme="minorHAnsi"/>
          <w:szCs w:val="22"/>
        </w:rPr>
        <w:t>Geschäftsreise-</w:t>
      </w:r>
      <w:r w:rsidRPr="00362B4E">
        <w:rPr>
          <w:rFonts w:asciiTheme="minorHAnsi" w:hAnsiTheme="minorHAnsi" w:cstheme="minorHAnsi"/>
          <w:szCs w:val="22"/>
        </w:rPr>
        <w:t>Unternehmens zu effizienteren Abläufen und damit zu Einsparungen führt</w:t>
      </w:r>
      <w:r w:rsidR="00177C75" w:rsidRPr="00362B4E">
        <w:rPr>
          <w:rFonts w:asciiTheme="minorHAnsi" w:hAnsiTheme="minorHAnsi" w:cstheme="minorHAnsi"/>
          <w:szCs w:val="22"/>
          <w:vertAlign w:val="superscript"/>
          <w:lang w:val="en-US"/>
        </w:rPr>
        <w:footnoteReference w:id="1"/>
      </w:r>
      <w:r w:rsidR="00177C75" w:rsidRPr="00362B4E">
        <w:rPr>
          <w:rFonts w:asciiTheme="minorHAnsi" w:hAnsiTheme="minorHAnsi" w:cstheme="minorHAnsi"/>
          <w:szCs w:val="22"/>
        </w:rPr>
        <w:t>.</w:t>
      </w:r>
    </w:p>
    <w:p w14:paraId="3E9CF86B" w14:textId="77777777" w:rsidR="006579FD" w:rsidRPr="00362B4E" w:rsidRDefault="006579FD" w:rsidP="005D77AE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</w:p>
    <w:p w14:paraId="451B468B" w14:textId="4C215872" w:rsidR="005D77AE" w:rsidRPr="00362B4E" w:rsidRDefault="005D77AE" w:rsidP="005D77AE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362B4E">
        <w:rPr>
          <w:rFonts w:asciiTheme="minorHAnsi" w:hAnsiTheme="minorHAnsi" w:cstheme="minorHAnsi"/>
          <w:szCs w:val="22"/>
        </w:rPr>
        <w:t>Weitere Faktoren, die sich bei „wilden“ Hotelbuchungen auf Gewinn und Verlust von Unternehmen auswirken können:</w:t>
      </w:r>
    </w:p>
    <w:p w14:paraId="73E0D31A" w14:textId="41F5FF34" w:rsidR="00177C75" w:rsidRPr="006579FD" w:rsidRDefault="006579FD" w:rsidP="006579FD">
      <w:pPr>
        <w:pStyle w:val="Listenabsatz"/>
        <w:numPr>
          <w:ilvl w:val="0"/>
          <w:numId w:val="13"/>
        </w:numPr>
        <w:spacing w:before="120" w:line="276" w:lineRule="auto"/>
        <w:jc w:val="both"/>
        <w:rPr>
          <w:szCs w:val="22"/>
        </w:rPr>
      </w:pPr>
      <w:r w:rsidRPr="00362B4E">
        <w:rPr>
          <w:rFonts w:asciiTheme="minorHAnsi" w:hAnsiTheme="minorHAnsi" w:cstheme="minorHAnsi"/>
          <w:szCs w:val="22"/>
        </w:rPr>
        <w:t xml:space="preserve">Die </w:t>
      </w:r>
      <w:r w:rsidR="00177C75" w:rsidRPr="00362B4E">
        <w:rPr>
          <w:rFonts w:asciiTheme="minorHAnsi" w:hAnsiTheme="minorHAnsi" w:cstheme="minorHAnsi"/>
          <w:szCs w:val="22"/>
        </w:rPr>
        <w:t xml:space="preserve">GBTA </w:t>
      </w:r>
      <w:r w:rsidR="005D77AE" w:rsidRPr="00362B4E">
        <w:rPr>
          <w:rFonts w:asciiTheme="minorHAnsi" w:hAnsiTheme="minorHAnsi" w:cstheme="minorHAnsi"/>
          <w:szCs w:val="22"/>
        </w:rPr>
        <w:t>erwartet, da</w:t>
      </w:r>
      <w:r w:rsidRPr="00362B4E">
        <w:rPr>
          <w:rFonts w:asciiTheme="minorHAnsi" w:hAnsiTheme="minorHAnsi" w:cstheme="minorHAnsi"/>
          <w:szCs w:val="22"/>
        </w:rPr>
        <w:t>ss die Hotelpreise im nächsten J</w:t>
      </w:r>
      <w:r w:rsidR="005D77AE" w:rsidRPr="00362B4E">
        <w:rPr>
          <w:rFonts w:asciiTheme="minorHAnsi" w:hAnsiTheme="minorHAnsi" w:cstheme="minorHAnsi"/>
          <w:szCs w:val="22"/>
        </w:rPr>
        <w:t>ahr weltweit um nahezu 4 Prozent ansteigen werden</w:t>
      </w:r>
      <w:r w:rsidRPr="00362B4E">
        <w:rPr>
          <w:rFonts w:asciiTheme="minorHAnsi" w:hAnsiTheme="minorHAnsi" w:cstheme="minorHAnsi"/>
          <w:szCs w:val="22"/>
        </w:rPr>
        <w:t xml:space="preserve"> – in Ost- und Westeuropa sogar</w:t>
      </w:r>
      <w:r>
        <w:rPr>
          <w:szCs w:val="22"/>
        </w:rPr>
        <w:t xml:space="preserve"> um 6,6 bzw. 6,3 Prozent und </w:t>
      </w:r>
      <w:r w:rsidRPr="006579FD">
        <w:rPr>
          <w:szCs w:val="22"/>
        </w:rPr>
        <w:t>i</w:t>
      </w:r>
      <w:r w:rsidRPr="006579FD">
        <w:rPr>
          <w:bCs/>
          <w:szCs w:val="22"/>
        </w:rPr>
        <w:t>n Deutschland bis zu 8,3 Prozent.</w:t>
      </w:r>
      <w:r w:rsidRPr="00177C75">
        <w:rPr>
          <w:color w:val="1F3864"/>
          <w:szCs w:val="22"/>
          <w:vertAlign w:val="superscript"/>
          <w:lang w:val="en-US"/>
        </w:rPr>
        <w:footnoteReference w:id="2"/>
      </w:r>
    </w:p>
    <w:p w14:paraId="00F2B73A" w14:textId="12E73C08" w:rsidR="006579FD" w:rsidRDefault="006579FD" w:rsidP="006579FD">
      <w:pPr>
        <w:pStyle w:val="Listenabsatz"/>
        <w:numPr>
          <w:ilvl w:val="0"/>
          <w:numId w:val="13"/>
        </w:numPr>
        <w:spacing w:before="120" w:line="276" w:lineRule="auto"/>
        <w:rPr>
          <w:szCs w:val="22"/>
        </w:rPr>
      </w:pPr>
      <w:r>
        <w:rPr>
          <w:szCs w:val="22"/>
        </w:rPr>
        <w:t>Die Ausgaben für Unterkü</w:t>
      </w:r>
      <w:r w:rsidRPr="006579FD">
        <w:rPr>
          <w:szCs w:val="22"/>
        </w:rPr>
        <w:t>nft</w:t>
      </w:r>
      <w:r>
        <w:rPr>
          <w:szCs w:val="22"/>
        </w:rPr>
        <w:t>e</w:t>
      </w:r>
      <w:r w:rsidRPr="006579FD">
        <w:rPr>
          <w:szCs w:val="22"/>
        </w:rPr>
        <w:t xml:space="preserve"> betragen durchschnittlich 14</w:t>
      </w:r>
      <w:r>
        <w:rPr>
          <w:szCs w:val="22"/>
        </w:rPr>
        <w:t xml:space="preserve"> Prozent</w:t>
      </w:r>
      <w:r w:rsidRPr="006579FD">
        <w:rPr>
          <w:szCs w:val="22"/>
        </w:rPr>
        <w:t xml:space="preserve"> der gesamten Reis</w:t>
      </w:r>
      <w:r>
        <w:rPr>
          <w:szCs w:val="22"/>
        </w:rPr>
        <w:t xml:space="preserve">e- und Unterhaltungskosten (Travel &amp; Entertainment </w:t>
      </w:r>
      <w:r w:rsidRPr="006579FD">
        <w:rPr>
          <w:szCs w:val="22"/>
        </w:rPr>
        <w:t>Kosten</w:t>
      </w:r>
      <w:r>
        <w:rPr>
          <w:szCs w:val="22"/>
        </w:rPr>
        <w:t>, T&amp;E Kosten</w:t>
      </w:r>
      <w:r w:rsidRPr="006579FD">
        <w:rPr>
          <w:szCs w:val="22"/>
        </w:rPr>
        <w:t>)</w:t>
      </w:r>
      <w:r w:rsidRPr="006579FD">
        <w:rPr>
          <w:szCs w:val="22"/>
          <w:vertAlign w:val="superscript"/>
        </w:rPr>
        <w:t xml:space="preserve"> </w:t>
      </w:r>
      <w:r w:rsidRPr="00177C75">
        <w:rPr>
          <w:szCs w:val="22"/>
          <w:vertAlign w:val="superscript"/>
          <w:lang w:val="en-US"/>
        </w:rPr>
        <w:footnoteReference w:id="3"/>
      </w:r>
      <w:r w:rsidRPr="006579FD">
        <w:rPr>
          <w:szCs w:val="22"/>
        </w:rPr>
        <w:t xml:space="preserve">, was in der Regel </w:t>
      </w:r>
      <w:r>
        <w:rPr>
          <w:szCs w:val="22"/>
        </w:rPr>
        <w:t>der wichtigste Punkt</w:t>
      </w:r>
      <w:r w:rsidRPr="006579FD">
        <w:rPr>
          <w:szCs w:val="22"/>
        </w:rPr>
        <w:t xml:space="preserve"> im Budget eines Unternehmens ist.</w:t>
      </w:r>
    </w:p>
    <w:p w14:paraId="0FAE20FC" w14:textId="514BD701" w:rsidR="001D2B48" w:rsidRDefault="001D2B48" w:rsidP="00D3756A">
      <w:pPr>
        <w:spacing w:before="120" w:line="276" w:lineRule="auto"/>
        <w:jc w:val="both"/>
        <w:rPr>
          <w:rFonts w:asciiTheme="minorHAnsi" w:hAnsiTheme="minorHAnsi"/>
          <w:szCs w:val="22"/>
        </w:rPr>
      </w:pPr>
      <w:r w:rsidRPr="001D2B48">
        <w:rPr>
          <w:rFonts w:asciiTheme="minorHAnsi" w:hAnsiTheme="minorHAnsi"/>
          <w:szCs w:val="22"/>
        </w:rPr>
        <w:t xml:space="preserve">Für mehr Informationen </w:t>
      </w:r>
      <w:r>
        <w:rPr>
          <w:rFonts w:asciiTheme="minorHAnsi" w:hAnsiTheme="minorHAnsi"/>
          <w:szCs w:val="22"/>
        </w:rPr>
        <w:t xml:space="preserve">kontaktieren Sie uns gerne oder besuchen Sie </w:t>
      </w:r>
      <w:r w:rsidR="006579FD">
        <w:rPr>
          <w:rFonts w:asciiTheme="minorHAnsi" w:hAnsiTheme="minorHAnsi"/>
          <w:szCs w:val="22"/>
        </w:rPr>
        <w:t xml:space="preserve">die Egencia-Website für einen Überblick über unser </w:t>
      </w:r>
      <w:hyperlink r:id="rId10" w:history="1">
        <w:r w:rsidR="006579FD">
          <w:rPr>
            <w:rStyle w:val="Hyperlink"/>
            <w:rFonts w:asciiTheme="minorHAnsi" w:hAnsiTheme="minorHAnsi"/>
            <w:szCs w:val="22"/>
          </w:rPr>
          <w:t>Partner-Netzwerk</w:t>
        </w:r>
      </w:hyperlink>
      <w:r w:rsidR="006579FD">
        <w:rPr>
          <w:rFonts w:asciiTheme="minorHAnsi" w:hAnsiTheme="minorHAnsi"/>
          <w:szCs w:val="22"/>
        </w:rPr>
        <w:t>.</w:t>
      </w:r>
    </w:p>
    <w:p w14:paraId="42CD5A60" w14:textId="77777777" w:rsidR="003D077C" w:rsidRDefault="003D077C" w:rsidP="00D3756A">
      <w:pPr>
        <w:spacing w:before="120" w:line="276" w:lineRule="auto"/>
        <w:jc w:val="both"/>
        <w:rPr>
          <w:rFonts w:asciiTheme="minorHAnsi" w:hAnsiTheme="minorHAnsi"/>
          <w:szCs w:val="22"/>
        </w:rPr>
      </w:pPr>
    </w:p>
    <w:p w14:paraId="525272CD" w14:textId="229E1213" w:rsidR="003D077C" w:rsidRPr="00212048" w:rsidRDefault="003D077C" w:rsidP="003D077C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212048">
        <w:rPr>
          <w:rFonts w:cstheme="minorHAnsi"/>
          <w:b/>
        </w:rPr>
        <w:t xml:space="preserve">Über </w:t>
      </w:r>
      <w:r>
        <w:rPr>
          <w:rFonts w:cstheme="minorHAnsi"/>
          <w:b/>
        </w:rPr>
        <w:t>die Studie</w:t>
      </w:r>
    </w:p>
    <w:p w14:paraId="11F100A6" w14:textId="77777777" w:rsidR="003D077C" w:rsidRPr="00B22043" w:rsidRDefault="003D077C" w:rsidP="003D077C">
      <w:pPr>
        <w:pStyle w:val="HTMLVorformatiert"/>
        <w:spacing w:line="276" w:lineRule="auto"/>
        <w:jc w:val="both"/>
        <w:rPr>
          <w:rFonts w:asciiTheme="minorHAnsi" w:eastAsia="Calibri" w:hAnsiTheme="minorHAnsi" w:cs="Times New Roman"/>
          <w:sz w:val="22"/>
          <w:szCs w:val="22"/>
          <w:lang w:eastAsia="en-GB"/>
        </w:rPr>
      </w:pPr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t xml:space="preserve">Die </w:t>
      </w:r>
      <w:r>
        <w:rPr>
          <w:rFonts w:asciiTheme="minorHAnsi" w:eastAsia="Calibri" w:hAnsiTheme="minorHAnsi" w:cs="Times New Roman"/>
          <w:sz w:val="22"/>
          <w:szCs w:val="22"/>
          <w:lang w:eastAsia="en-GB"/>
        </w:rPr>
        <w:t xml:space="preserve">vierte </w:t>
      </w:r>
      <w:r w:rsidRPr="00FF67E0">
        <w:rPr>
          <w:rFonts w:asciiTheme="minorHAnsi" w:eastAsia="Calibri" w:hAnsiTheme="minorHAnsi" w:cs="Times New Roman"/>
          <w:sz w:val="22"/>
          <w:szCs w:val="22"/>
          <w:lang w:eastAsia="en-GB"/>
        </w:rPr>
        <w:t>„Business Travel und Technology“-</w:t>
      </w:r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t xml:space="preserve">Studie wurde im Auftrag von Egencia von </w:t>
      </w:r>
      <w:proofErr w:type="spellStart"/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t>Northstar</w:t>
      </w:r>
      <w:proofErr w:type="spellEnd"/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t xml:space="preserve">, einem weltweit vernetzten Consulting-Unternehmen, durchgeführt. Für die Studie wurden 4.521 Geschäftsreisenden ab 18 Jahren in Australien, Kanada, Frankreich, Deutschland, Norwegen, </w:t>
      </w:r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lastRenderedPageBreak/>
        <w:t>Singapur, Schweden, Großbritannien und den USA befragt (mit n = 500 Umfragen pro Land). Dies</w:t>
      </w:r>
      <w:r>
        <w:rPr>
          <w:rFonts w:asciiTheme="minorHAnsi" w:eastAsia="Calibri" w:hAnsiTheme="minorHAnsi" w:cs="Times New Roman"/>
          <w:sz w:val="22"/>
          <w:szCs w:val="22"/>
          <w:lang w:eastAsia="en-GB"/>
        </w:rPr>
        <w:t>e</w:t>
      </w:r>
      <w:r w:rsidRPr="00B22043">
        <w:rPr>
          <w:rFonts w:asciiTheme="minorHAnsi" w:eastAsia="Calibri" w:hAnsiTheme="minorHAnsi" w:cs="Times New Roman"/>
          <w:sz w:val="22"/>
          <w:szCs w:val="22"/>
          <w:lang w:eastAsia="en-GB"/>
        </w:rPr>
        <w:t xml:space="preserve"> haben die Umfrage im April und Mai 2017 online beantwortet</w:t>
      </w:r>
      <w:r>
        <w:rPr>
          <w:rFonts w:asciiTheme="minorHAnsi" w:eastAsia="Calibri" w:hAnsiTheme="minorHAnsi" w:cs="Times New Roman"/>
          <w:sz w:val="22"/>
          <w:szCs w:val="22"/>
          <w:lang w:eastAsia="en-GB"/>
        </w:rPr>
        <w:t>.</w:t>
      </w:r>
    </w:p>
    <w:p w14:paraId="10DEBA2F" w14:textId="30AF74A9" w:rsidR="003D077C" w:rsidRPr="001C6CEC" w:rsidRDefault="003D077C" w:rsidP="003D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Infographik </w:t>
      </w:r>
      <w:r w:rsidRPr="00B22043">
        <w:rPr>
          <w:rFonts w:asciiTheme="minorHAnsi" w:hAnsiTheme="minorHAnsi"/>
          <w:szCs w:val="22"/>
        </w:rPr>
        <w:t>unter</w:t>
      </w:r>
      <w:r>
        <w:rPr>
          <w:rFonts w:asciiTheme="minorHAnsi" w:hAnsiTheme="minorHAnsi"/>
          <w:szCs w:val="22"/>
        </w:rPr>
        <w:t xml:space="preserve">: </w:t>
      </w:r>
      <w:r w:rsidRPr="00B22043">
        <w:rPr>
          <w:rFonts w:asciiTheme="minorHAnsi" w:hAnsiTheme="minorHAnsi"/>
          <w:szCs w:val="22"/>
        </w:rPr>
        <w:t xml:space="preserve"> </w:t>
      </w:r>
      <w:hyperlink r:id="rId11" w:history="1">
        <w:r w:rsidRPr="00DA26D9">
          <w:rPr>
            <w:rStyle w:val="Hyperlink"/>
            <w:rFonts w:asciiTheme="minorHAnsi" w:hAnsiTheme="minorHAnsi"/>
            <w:szCs w:val="22"/>
          </w:rPr>
          <w:t>https://www.egencia.com/public/de/campaigns/gbta/</w:t>
        </w:r>
      </w:hyperlink>
    </w:p>
    <w:p w14:paraId="26340FD5" w14:textId="77777777" w:rsidR="00B22043" w:rsidRDefault="00B22043" w:rsidP="00A650A7">
      <w:pPr>
        <w:pStyle w:val="StandardWeb"/>
        <w:spacing w:before="0" w:beforeAutospacing="0" w:after="0" w:afterAutospacing="0" w:line="276" w:lineRule="auto"/>
        <w:rPr>
          <w:rFonts w:asciiTheme="minorHAnsi" w:eastAsia="Calibri" w:hAnsiTheme="minorHAnsi"/>
          <w:sz w:val="22"/>
          <w:szCs w:val="22"/>
          <w:lang w:eastAsia="en-GB"/>
        </w:rPr>
      </w:pPr>
    </w:p>
    <w:p w14:paraId="2192DF4B" w14:textId="77777777" w:rsidR="003D077C" w:rsidRPr="0017498F" w:rsidRDefault="003D077C" w:rsidP="00A650A7">
      <w:pPr>
        <w:pStyle w:val="StandardWeb"/>
        <w:spacing w:before="0" w:beforeAutospacing="0" w:after="0" w:afterAutospacing="0" w:line="276" w:lineRule="auto"/>
        <w:rPr>
          <w:rFonts w:asciiTheme="minorHAnsi" w:eastAsia="Calibri" w:hAnsiTheme="minorHAnsi"/>
          <w:sz w:val="22"/>
          <w:szCs w:val="22"/>
          <w:lang w:eastAsia="en-GB"/>
        </w:rPr>
      </w:pPr>
      <w:bookmarkStart w:id="1" w:name="_GoBack"/>
      <w:bookmarkEnd w:id="1"/>
    </w:p>
    <w:p w14:paraId="3ACC5915" w14:textId="77777777" w:rsidR="00C53A03" w:rsidRPr="00212048" w:rsidRDefault="00C53A03" w:rsidP="009002E7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212048">
        <w:rPr>
          <w:rFonts w:cstheme="minorHAnsi"/>
          <w:b/>
        </w:rPr>
        <w:t>Über Egencia</w:t>
      </w:r>
    </w:p>
    <w:p w14:paraId="4C824B40" w14:textId="77777777" w:rsidR="00C53A03" w:rsidRDefault="00C53A03" w:rsidP="00C53A03">
      <w:pPr>
        <w:spacing w:before="0" w:line="276" w:lineRule="auto"/>
        <w:jc w:val="both"/>
        <w:rPr>
          <w:rStyle w:val="hps"/>
        </w:rPr>
      </w:pPr>
      <w:r w:rsidRPr="00212048">
        <w:rPr>
          <w:rFonts w:cstheme="minorHAnsi"/>
        </w:rPr>
        <w:t>Egencia macht Geschäftsreisen durch innovative Technologien einfacher. Im Mittelpunkt stehen dabei die Geschäftsreisenden und ihre Anforderungen – Egencia gibt ihnen</w:t>
      </w:r>
      <w:r>
        <w:rPr>
          <w:rFonts w:cstheme="minorHAnsi"/>
        </w:rPr>
        <w:t xml:space="preserve"> intuitive Lösungen an die Hand, die ihre Reisen einfacher und effektiver machen. </w:t>
      </w:r>
      <w:r>
        <w:rPr>
          <w:rStyle w:val="hps"/>
        </w:rPr>
        <w:t xml:space="preserve">Das breite Portfolio umfasst Reiseanbieter aus den </w:t>
      </w:r>
      <w:r>
        <w:rPr>
          <w:rFonts w:cstheme="minorHAnsi"/>
        </w:rPr>
        <w:t>Bereichen Flug, Hotel, Mietwagen und Bahn. Mit dem technologischen Knowhow und dem Feedback von Millionen von Nutzern der Muttergesellschaft, der Expedia-Gruppe, bietet Egencia Geschäftsreisenden das, was sie benötigen: Informationen</w:t>
      </w:r>
      <w:r>
        <w:t xml:space="preserve">, </w:t>
      </w:r>
      <w:r>
        <w:rPr>
          <w:rStyle w:val="hps"/>
        </w:rPr>
        <w:t>Technologie, Service</w:t>
      </w:r>
      <w:r>
        <w:t xml:space="preserve"> </w:t>
      </w:r>
      <w:r>
        <w:rPr>
          <w:rStyle w:val="hps"/>
        </w:rPr>
        <w:t>und Reporting gebündelt in e</w:t>
      </w:r>
      <w:r w:rsidR="0014662B">
        <w:rPr>
          <w:rStyle w:val="hps"/>
        </w:rPr>
        <w:t>inem Travel-Management-System.</w:t>
      </w:r>
    </w:p>
    <w:p w14:paraId="3D8DC12C" w14:textId="77777777" w:rsidR="00C53A03" w:rsidRDefault="00C53A03" w:rsidP="00C53A0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Egencia ist weltweit in </w:t>
      </w:r>
      <w:r w:rsidR="006379F6">
        <w:rPr>
          <w:rFonts w:cstheme="minorHAnsi"/>
        </w:rPr>
        <w:t xml:space="preserve">mehr als </w:t>
      </w:r>
      <w:r>
        <w:rPr>
          <w:rFonts w:cstheme="minorHAnsi"/>
          <w:color w:val="000000" w:themeColor="text1"/>
        </w:rPr>
        <w:t>65 Ländern</w:t>
      </w:r>
      <w:r>
        <w:rPr>
          <w:rFonts w:cstheme="minorHAnsi"/>
        </w:rPr>
        <w:t xml:space="preserve"> mit fachkundigem Service vertreten. Mehr Informationen auf </w:t>
      </w:r>
      <w:hyperlink r:id="rId12" w:history="1">
        <w:r>
          <w:rPr>
            <w:rStyle w:val="Hyperlink"/>
            <w:rFonts w:cstheme="minorHAnsi"/>
          </w:rPr>
          <w:t>www.egencia.de</w:t>
        </w:r>
      </w:hyperlink>
      <w:r w:rsidR="0017498F">
        <w:rPr>
          <w:rStyle w:val="Hyperlink"/>
          <w:rFonts w:cstheme="minorHAnsi"/>
        </w:rPr>
        <w:t>,</w:t>
      </w:r>
      <w:r>
        <w:rPr>
          <w:rFonts w:cstheme="minorHAnsi"/>
        </w:rPr>
        <w:t xml:space="preserve"> </w:t>
      </w:r>
      <w:r w:rsidR="0017498F">
        <w:rPr>
          <w:rFonts w:cstheme="minorHAnsi"/>
        </w:rPr>
        <w:t xml:space="preserve">auf LinkedIn </w:t>
      </w:r>
      <w:hyperlink r:id="rId13" w:history="1">
        <w:r w:rsidR="0017498F" w:rsidRPr="0017498F">
          <w:rPr>
            <w:rStyle w:val="Hyperlink"/>
          </w:rPr>
          <w:t>linkedin.com/</w:t>
        </w:r>
        <w:proofErr w:type="spellStart"/>
        <w:r w:rsidR="0017498F" w:rsidRPr="0017498F">
          <w:rPr>
            <w:rStyle w:val="Hyperlink"/>
          </w:rPr>
          <w:t>company</w:t>
        </w:r>
        <w:proofErr w:type="spellEnd"/>
        <w:r w:rsidR="0017498F" w:rsidRPr="0017498F">
          <w:rPr>
            <w:rStyle w:val="Hyperlink"/>
          </w:rPr>
          <w:t>/Egencia</w:t>
        </w:r>
      </w:hyperlink>
      <w:r w:rsidR="0017498F" w:rsidRPr="0017498F">
        <w:t xml:space="preserve"> </w:t>
      </w:r>
      <w:r>
        <w:rPr>
          <w:rFonts w:cstheme="minorHAnsi"/>
        </w:rPr>
        <w:t xml:space="preserve">oder via Twitter </w:t>
      </w:r>
      <w:hyperlink r:id="rId14" w:history="1">
        <w:r>
          <w:rPr>
            <w:rStyle w:val="Hyperlink"/>
            <w:rFonts w:cstheme="minorHAnsi"/>
          </w:rPr>
          <w:t>@</w:t>
        </w:r>
        <w:proofErr w:type="spellStart"/>
        <w:r>
          <w:rPr>
            <w:rStyle w:val="Hyperlink"/>
            <w:rFonts w:cstheme="minorHAnsi"/>
          </w:rPr>
          <w:t>EgenciaDE</w:t>
        </w:r>
        <w:proofErr w:type="spellEnd"/>
      </w:hyperlink>
      <w:r>
        <w:rPr>
          <w:rFonts w:cstheme="minorHAnsi"/>
        </w:rPr>
        <w:t>.</w:t>
      </w:r>
    </w:p>
    <w:p w14:paraId="0238968C" w14:textId="77777777" w:rsidR="00C53A03" w:rsidRDefault="00C53A03" w:rsidP="00C53A03">
      <w:pPr>
        <w:spacing w:line="276" w:lineRule="auto"/>
        <w:jc w:val="both"/>
        <w:rPr>
          <w:sz w:val="20"/>
          <w:lang w:val="sv-SE"/>
        </w:rPr>
      </w:pPr>
      <w:r>
        <w:rPr>
          <w:sz w:val="20"/>
        </w:rPr>
        <w:t>© 201</w:t>
      </w:r>
      <w:r w:rsidR="003A7633">
        <w:rPr>
          <w:sz w:val="20"/>
        </w:rPr>
        <w:t>7</w:t>
      </w:r>
      <w:r>
        <w:rPr>
          <w:sz w:val="20"/>
        </w:rPr>
        <w:t xml:space="preserve"> Egencia, LLC. Alle Rechte vorbehalten. Der Name und das Logo Egencia sind als Marke registriert oder ein Trademark der Expedia Gruppe in den USA und/oder anderen Märkten. Andere Logos, Produkte oder Firmennamen, welche hier erwähnt werden, können den jeweiligen Inhabern gehören. </w:t>
      </w:r>
      <w:r>
        <w:rPr>
          <w:sz w:val="20"/>
          <w:lang w:val="sv-SE"/>
        </w:rPr>
        <w:t>CST # 2083922-50.</w:t>
      </w:r>
    </w:p>
    <w:p w14:paraId="4FF41901" w14:textId="77777777" w:rsidR="00C53A03" w:rsidRDefault="00C53A03" w:rsidP="00C53A03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Medienkontakt</w:t>
      </w:r>
    </w:p>
    <w:p w14:paraId="62701248" w14:textId="77777777"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Annie </w:t>
      </w:r>
      <w:proofErr w:type="spellStart"/>
      <w:r>
        <w:rPr>
          <w:rFonts w:cs="Calibri"/>
          <w:color w:val="000000"/>
          <w:sz w:val="20"/>
          <w:szCs w:val="20"/>
        </w:rPr>
        <w:t>McElroy</w:t>
      </w:r>
      <w:proofErr w:type="spellEnd"/>
      <w:r>
        <w:rPr>
          <w:rFonts w:cs="Calibri"/>
          <w:color w:val="000000"/>
          <w:sz w:val="20"/>
          <w:szCs w:val="20"/>
        </w:rPr>
        <w:t xml:space="preserve">-Arnaud, Communications Manager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Carolin Campe </w:t>
      </w:r>
    </w:p>
    <w:p w14:paraId="007A399D" w14:textId="77777777"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Egencia Europe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noble </w:t>
      </w:r>
      <w:proofErr w:type="spellStart"/>
      <w:r>
        <w:rPr>
          <w:rFonts w:cs="Calibri"/>
          <w:color w:val="000000"/>
          <w:sz w:val="20"/>
          <w:szCs w:val="20"/>
        </w:rPr>
        <w:t>kommunikation</w:t>
      </w:r>
      <w:proofErr w:type="spellEnd"/>
    </w:p>
    <w:p w14:paraId="6C00ED43" w14:textId="77777777"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E-Mail: </w:t>
      </w:r>
      <w:hyperlink r:id="rId15" w:history="1">
        <w:r>
          <w:rPr>
            <w:rStyle w:val="Hyperlink"/>
            <w:rFonts w:cs="Calibri"/>
            <w:sz w:val="20"/>
            <w:szCs w:val="20"/>
          </w:rPr>
          <w:t>a.mcelroyarnaud@egencia.com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E-Mail: </w:t>
      </w:r>
      <w:r>
        <w:rPr>
          <w:rStyle w:val="Hyperlink"/>
          <w:rFonts w:cs="Calibri"/>
          <w:sz w:val="20"/>
          <w:szCs w:val="20"/>
        </w:rPr>
        <w:t>ccampe@noblekom.de</w:t>
      </w:r>
    </w:p>
    <w:p w14:paraId="7A9B0A24" w14:textId="77777777" w:rsidR="00C53A03" w:rsidRDefault="00C53A03" w:rsidP="00C53A03">
      <w:pPr>
        <w:spacing w:before="0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Büro: +33 1 73 01 02 21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 w:val="20"/>
          <w:szCs w:val="20"/>
        </w:rPr>
        <w:t xml:space="preserve">Büro: +49 </w:t>
      </w:r>
      <w:r>
        <w:rPr>
          <w:sz w:val="20"/>
          <w:szCs w:val="20"/>
        </w:rPr>
        <w:t>6102 36660</w:t>
      </w:r>
    </w:p>
    <w:p w14:paraId="28E0F48D" w14:textId="77777777" w:rsidR="00D00AB8" w:rsidRPr="00B34E38" w:rsidRDefault="00D00AB8" w:rsidP="00C53A03">
      <w:pPr>
        <w:spacing w:before="0" w:after="120"/>
        <w:jc w:val="both"/>
        <w:rPr>
          <w:sz w:val="20"/>
          <w:lang w:val="en-US"/>
        </w:rPr>
      </w:pPr>
    </w:p>
    <w:sectPr w:rsidR="00D00AB8" w:rsidRPr="00B34E38" w:rsidSect="00412A2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BAF1" w14:textId="77777777" w:rsidR="00BC36A3" w:rsidRDefault="00BC36A3" w:rsidP="00C316B9">
      <w:r>
        <w:separator/>
      </w:r>
    </w:p>
  </w:endnote>
  <w:endnote w:type="continuationSeparator" w:id="0">
    <w:p w14:paraId="00A52413" w14:textId="77777777" w:rsidR="00BC36A3" w:rsidRDefault="00BC36A3" w:rsidP="00C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E325" w14:textId="7FAA5C82" w:rsidR="00BC36A3" w:rsidRDefault="00BC36A3" w:rsidP="00C316B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D077C" w:rsidRPr="003D077C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4790E7F8" w14:textId="77777777" w:rsidR="00BC36A3" w:rsidRDefault="00BC36A3" w:rsidP="00C31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2A74" w14:textId="77777777" w:rsidR="00BC36A3" w:rsidRDefault="00BC36A3" w:rsidP="00C316B9">
      <w:r>
        <w:separator/>
      </w:r>
    </w:p>
  </w:footnote>
  <w:footnote w:type="continuationSeparator" w:id="0">
    <w:p w14:paraId="0D5B0CBD" w14:textId="77777777" w:rsidR="00BC36A3" w:rsidRDefault="00BC36A3" w:rsidP="00C316B9">
      <w:r>
        <w:continuationSeparator/>
      </w:r>
    </w:p>
  </w:footnote>
  <w:footnote w:id="1">
    <w:p w14:paraId="1F7D8911" w14:textId="77777777" w:rsidR="00177C75" w:rsidRPr="00362B4E" w:rsidRDefault="00177C75" w:rsidP="00362B4E">
      <w:pPr>
        <w:spacing w:before="0"/>
        <w:rPr>
          <w:sz w:val="20"/>
          <w:szCs w:val="20"/>
          <w:lang w:val="en-US"/>
        </w:rPr>
      </w:pPr>
      <w:r w:rsidRPr="00362B4E">
        <w:rPr>
          <w:sz w:val="20"/>
          <w:szCs w:val="20"/>
          <w:vertAlign w:val="superscript"/>
        </w:rPr>
        <w:footnoteRef/>
      </w:r>
      <w:r w:rsidRPr="00362B4E">
        <w:rPr>
          <w:sz w:val="20"/>
          <w:szCs w:val="20"/>
          <w:lang w:val="en-US"/>
        </w:rPr>
        <w:t xml:space="preserve"> GBTA Foundation, 2014, “What Costs and Savings Do Managed Travel Programs Experience?” - </w:t>
      </w:r>
      <w:hyperlink r:id="rId1" w:history="1">
        <w:r w:rsidRPr="00362B4E">
          <w:rPr>
            <w:rStyle w:val="Hyperlink"/>
            <w:sz w:val="20"/>
            <w:szCs w:val="20"/>
            <w:lang w:val="en-US"/>
          </w:rPr>
          <w:t>http://www.gbta.org/PressReleases/Pages/rls_110514.aspx</w:t>
        </w:r>
      </w:hyperlink>
    </w:p>
  </w:footnote>
  <w:footnote w:id="2">
    <w:p w14:paraId="1A7000D3" w14:textId="77777777" w:rsidR="006579FD" w:rsidRPr="00362B4E" w:rsidRDefault="006579FD" w:rsidP="00362B4E">
      <w:pPr>
        <w:spacing w:before="0"/>
        <w:rPr>
          <w:sz w:val="20"/>
          <w:szCs w:val="20"/>
          <w:lang w:val="en-US"/>
        </w:rPr>
      </w:pPr>
      <w:r w:rsidRPr="00362B4E">
        <w:rPr>
          <w:sz w:val="20"/>
          <w:szCs w:val="20"/>
          <w:vertAlign w:val="superscript"/>
        </w:rPr>
        <w:footnoteRef/>
      </w:r>
      <w:r w:rsidRPr="00362B4E">
        <w:rPr>
          <w:sz w:val="20"/>
          <w:szCs w:val="20"/>
          <w:lang w:val="en-US"/>
        </w:rPr>
        <w:t xml:space="preserve"> GBTA Foundation, 2018 Global Travel Forecast - </w:t>
      </w:r>
      <w:hyperlink r:id="rId2" w:history="1">
        <w:r w:rsidRPr="00362B4E">
          <w:rPr>
            <w:rStyle w:val="Hyperlink"/>
            <w:sz w:val="20"/>
            <w:szCs w:val="20"/>
            <w:lang w:val="en-US"/>
          </w:rPr>
          <w:t>http://www.gbta.org/foundation/pressreleases/Pages/rls_071817.aspx</w:t>
        </w:r>
      </w:hyperlink>
    </w:p>
  </w:footnote>
  <w:footnote w:id="3">
    <w:p w14:paraId="0C53954B" w14:textId="29EE1346" w:rsidR="006579FD" w:rsidRPr="007873A2" w:rsidRDefault="006579FD" w:rsidP="00362B4E">
      <w:pPr>
        <w:spacing w:before="0"/>
        <w:rPr>
          <w:sz w:val="16"/>
          <w:szCs w:val="16"/>
          <w:lang w:val="en-US"/>
        </w:rPr>
      </w:pPr>
      <w:r w:rsidRPr="00362B4E">
        <w:rPr>
          <w:sz w:val="20"/>
          <w:szCs w:val="20"/>
          <w:vertAlign w:val="superscript"/>
        </w:rPr>
        <w:footnoteRef/>
      </w:r>
      <w:r w:rsidRPr="00362B4E">
        <w:rPr>
          <w:sz w:val="20"/>
          <w:szCs w:val="20"/>
          <w:lang w:val="en-US"/>
        </w:rPr>
        <w:t xml:space="preserve"> Certify, 2017 T&amp;E Expense Trends and Benchmark Spending -</w:t>
      </w:r>
      <w:r w:rsidRPr="007873A2">
        <w:rPr>
          <w:sz w:val="20"/>
          <w:szCs w:val="20"/>
          <w:lang w:val="en-US"/>
        </w:rPr>
        <w:t xml:space="preserve"> </w:t>
      </w:r>
      <w:hyperlink r:id="rId3" w:history="1">
        <w:r w:rsidR="007873A2" w:rsidRPr="007873A2">
          <w:rPr>
            <w:rStyle w:val="Hyperlink"/>
            <w:sz w:val="20"/>
            <w:szCs w:val="20"/>
            <w:lang w:val="en-US"/>
          </w:rPr>
          <w:t>https://www.certify.com/Webinar-T-and-E-Expense-Trends-Benchmark-Spending-2017.aspx</w:t>
        </w:r>
      </w:hyperlink>
      <w:r w:rsidR="007873A2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AFCB" w14:textId="77777777" w:rsidR="00BC36A3" w:rsidRDefault="00BC36A3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F2A8A3" wp14:editId="4D3C5B0B">
          <wp:simplePos x="0" y="0"/>
          <wp:positionH relativeFrom="column">
            <wp:posOffset>4196080</wp:posOffset>
          </wp:positionH>
          <wp:positionV relativeFrom="paragraph">
            <wp:posOffset>-250190</wp:posOffset>
          </wp:positionV>
          <wp:extent cx="1600200" cy="504825"/>
          <wp:effectExtent l="0" t="0" r="0" b="0"/>
          <wp:wrapTight wrapText="bothSides">
            <wp:wrapPolygon edited="0">
              <wp:start x="0" y="0"/>
              <wp:lineTo x="0" y="21192"/>
              <wp:lineTo x="21343" y="21192"/>
              <wp:lineTo x="21343" y="0"/>
              <wp:lineTo x="0" y="0"/>
            </wp:wrapPolygon>
          </wp:wrapTight>
          <wp:docPr id="2" name="Grafik 2" descr="H:\Egencia\Logos\Egencia_480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gencia\Logos\Egencia_480x3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55" b="27175"/>
                  <a:stretch/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995"/>
    <w:multiLevelType w:val="hybridMultilevel"/>
    <w:tmpl w:val="AD18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0E8"/>
    <w:multiLevelType w:val="hybridMultilevel"/>
    <w:tmpl w:val="4E52F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0D31"/>
    <w:multiLevelType w:val="hybridMultilevel"/>
    <w:tmpl w:val="A79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295"/>
    <w:multiLevelType w:val="hybridMultilevel"/>
    <w:tmpl w:val="085E42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416F0"/>
    <w:multiLevelType w:val="hybridMultilevel"/>
    <w:tmpl w:val="C5FAB55A"/>
    <w:lvl w:ilvl="0" w:tplc="9FB456A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2F6D"/>
    <w:multiLevelType w:val="hybridMultilevel"/>
    <w:tmpl w:val="51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25BA"/>
    <w:multiLevelType w:val="hybridMultilevel"/>
    <w:tmpl w:val="0AEEA4D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4011AE"/>
    <w:multiLevelType w:val="hybridMultilevel"/>
    <w:tmpl w:val="DA60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C2A1F"/>
    <w:multiLevelType w:val="hybridMultilevel"/>
    <w:tmpl w:val="3792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3E84"/>
    <w:multiLevelType w:val="hybridMultilevel"/>
    <w:tmpl w:val="1B0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24287"/>
    <w:multiLevelType w:val="hybridMultilevel"/>
    <w:tmpl w:val="E7C4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32B52"/>
    <w:multiLevelType w:val="hybridMultilevel"/>
    <w:tmpl w:val="B934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4"/>
    <w:rsid w:val="00000BD4"/>
    <w:rsid w:val="00010E05"/>
    <w:rsid w:val="00011582"/>
    <w:rsid w:val="00012381"/>
    <w:rsid w:val="0002149F"/>
    <w:rsid w:val="00021963"/>
    <w:rsid w:val="00022951"/>
    <w:rsid w:val="000252F2"/>
    <w:rsid w:val="00025E1B"/>
    <w:rsid w:val="00027A37"/>
    <w:rsid w:val="00030DE6"/>
    <w:rsid w:val="00032B5F"/>
    <w:rsid w:val="0003664B"/>
    <w:rsid w:val="000377A2"/>
    <w:rsid w:val="000405C7"/>
    <w:rsid w:val="00040E65"/>
    <w:rsid w:val="00043F81"/>
    <w:rsid w:val="00044FAF"/>
    <w:rsid w:val="00047B0A"/>
    <w:rsid w:val="000510F6"/>
    <w:rsid w:val="00052C2D"/>
    <w:rsid w:val="00053685"/>
    <w:rsid w:val="00054332"/>
    <w:rsid w:val="00054CFF"/>
    <w:rsid w:val="00061521"/>
    <w:rsid w:val="00062A0C"/>
    <w:rsid w:val="00063A5D"/>
    <w:rsid w:val="000671CB"/>
    <w:rsid w:val="00067389"/>
    <w:rsid w:val="00070118"/>
    <w:rsid w:val="000719DE"/>
    <w:rsid w:val="000723A9"/>
    <w:rsid w:val="00072489"/>
    <w:rsid w:val="00073D6B"/>
    <w:rsid w:val="00074CEE"/>
    <w:rsid w:val="000752CE"/>
    <w:rsid w:val="00077054"/>
    <w:rsid w:val="00080134"/>
    <w:rsid w:val="00085763"/>
    <w:rsid w:val="000864AA"/>
    <w:rsid w:val="000875F3"/>
    <w:rsid w:val="00090281"/>
    <w:rsid w:val="00092560"/>
    <w:rsid w:val="00094449"/>
    <w:rsid w:val="000A0215"/>
    <w:rsid w:val="000A1979"/>
    <w:rsid w:val="000A2F2D"/>
    <w:rsid w:val="000A406E"/>
    <w:rsid w:val="000A5823"/>
    <w:rsid w:val="000A582A"/>
    <w:rsid w:val="000A6707"/>
    <w:rsid w:val="000A7F7B"/>
    <w:rsid w:val="000B4B7C"/>
    <w:rsid w:val="000C0578"/>
    <w:rsid w:val="000C299A"/>
    <w:rsid w:val="000C4DC5"/>
    <w:rsid w:val="000D2DE5"/>
    <w:rsid w:val="000D47E6"/>
    <w:rsid w:val="000D6D43"/>
    <w:rsid w:val="000E24EA"/>
    <w:rsid w:val="000E4B7D"/>
    <w:rsid w:val="000E603E"/>
    <w:rsid w:val="000E72C0"/>
    <w:rsid w:val="000F0FD4"/>
    <w:rsid w:val="000F1E6F"/>
    <w:rsid w:val="000F1FE9"/>
    <w:rsid w:val="000F482C"/>
    <w:rsid w:val="000F7A1D"/>
    <w:rsid w:val="0010021B"/>
    <w:rsid w:val="00100234"/>
    <w:rsid w:val="00100592"/>
    <w:rsid w:val="00100BF2"/>
    <w:rsid w:val="00103FF4"/>
    <w:rsid w:val="00112C71"/>
    <w:rsid w:val="00113E54"/>
    <w:rsid w:val="00114288"/>
    <w:rsid w:val="00114C9B"/>
    <w:rsid w:val="00116B2A"/>
    <w:rsid w:val="0012196F"/>
    <w:rsid w:val="00122CDE"/>
    <w:rsid w:val="00131CA8"/>
    <w:rsid w:val="00132589"/>
    <w:rsid w:val="00140F05"/>
    <w:rsid w:val="00142103"/>
    <w:rsid w:val="00143084"/>
    <w:rsid w:val="001461A5"/>
    <w:rsid w:val="0014662B"/>
    <w:rsid w:val="00147208"/>
    <w:rsid w:val="0014723F"/>
    <w:rsid w:val="00151C29"/>
    <w:rsid w:val="001532A7"/>
    <w:rsid w:val="001551CB"/>
    <w:rsid w:val="00156ECA"/>
    <w:rsid w:val="0015736A"/>
    <w:rsid w:val="00157432"/>
    <w:rsid w:val="00160525"/>
    <w:rsid w:val="00162DC7"/>
    <w:rsid w:val="0016467E"/>
    <w:rsid w:val="0017073F"/>
    <w:rsid w:val="0017498F"/>
    <w:rsid w:val="00177C75"/>
    <w:rsid w:val="001814BA"/>
    <w:rsid w:val="0018242E"/>
    <w:rsid w:val="00182DF1"/>
    <w:rsid w:val="00184C30"/>
    <w:rsid w:val="0018753E"/>
    <w:rsid w:val="00187B36"/>
    <w:rsid w:val="001947AC"/>
    <w:rsid w:val="00194D95"/>
    <w:rsid w:val="0019689D"/>
    <w:rsid w:val="00196940"/>
    <w:rsid w:val="001A6CA9"/>
    <w:rsid w:val="001B23AB"/>
    <w:rsid w:val="001B6A4D"/>
    <w:rsid w:val="001B6EAF"/>
    <w:rsid w:val="001C176C"/>
    <w:rsid w:val="001C1BFC"/>
    <w:rsid w:val="001C5050"/>
    <w:rsid w:val="001C52E0"/>
    <w:rsid w:val="001C6CEC"/>
    <w:rsid w:val="001D1792"/>
    <w:rsid w:val="001D2B48"/>
    <w:rsid w:val="001E066B"/>
    <w:rsid w:val="001E2E98"/>
    <w:rsid w:val="001E3F2C"/>
    <w:rsid w:val="001E474D"/>
    <w:rsid w:val="001E4A87"/>
    <w:rsid w:val="001E4ED7"/>
    <w:rsid w:val="001F19CD"/>
    <w:rsid w:val="001F3ABF"/>
    <w:rsid w:val="00202B9B"/>
    <w:rsid w:val="002047C0"/>
    <w:rsid w:val="0020493A"/>
    <w:rsid w:val="002050D8"/>
    <w:rsid w:val="00206460"/>
    <w:rsid w:val="002071F6"/>
    <w:rsid w:val="00211E3A"/>
    <w:rsid w:val="00212048"/>
    <w:rsid w:val="00213A88"/>
    <w:rsid w:val="00213EE6"/>
    <w:rsid w:val="002147E1"/>
    <w:rsid w:val="00221F32"/>
    <w:rsid w:val="002222B0"/>
    <w:rsid w:val="00223FDB"/>
    <w:rsid w:val="00225189"/>
    <w:rsid w:val="00233BF5"/>
    <w:rsid w:val="00235839"/>
    <w:rsid w:val="00236A42"/>
    <w:rsid w:val="00241434"/>
    <w:rsid w:val="00243C12"/>
    <w:rsid w:val="00247602"/>
    <w:rsid w:val="00251ABA"/>
    <w:rsid w:val="00254121"/>
    <w:rsid w:val="00254F5A"/>
    <w:rsid w:val="00256A21"/>
    <w:rsid w:val="00257BF4"/>
    <w:rsid w:val="00262723"/>
    <w:rsid w:val="00262845"/>
    <w:rsid w:val="002633C2"/>
    <w:rsid w:val="00273108"/>
    <w:rsid w:val="002733C1"/>
    <w:rsid w:val="00273812"/>
    <w:rsid w:val="0027394B"/>
    <w:rsid w:val="00275F3E"/>
    <w:rsid w:val="0028378B"/>
    <w:rsid w:val="0028428A"/>
    <w:rsid w:val="00291A88"/>
    <w:rsid w:val="00293261"/>
    <w:rsid w:val="00293C48"/>
    <w:rsid w:val="00293ED8"/>
    <w:rsid w:val="00296684"/>
    <w:rsid w:val="002A41C6"/>
    <w:rsid w:val="002A523B"/>
    <w:rsid w:val="002A547B"/>
    <w:rsid w:val="002B16C9"/>
    <w:rsid w:val="002B23D6"/>
    <w:rsid w:val="002B7379"/>
    <w:rsid w:val="002C1D21"/>
    <w:rsid w:val="002C3187"/>
    <w:rsid w:val="002C42FC"/>
    <w:rsid w:val="002D01FF"/>
    <w:rsid w:val="002D1587"/>
    <w:rsid w:val="002D18CA"/>
    <w:rsid w:val="002D4435"/>
    <w:rsid w:val="002F653F"/>
    <w:rsid w:val="002F7202"/>
    <w:rsid w:val="003001A0"/>
    <w:rsid w:val="00301D7B"/>
    <w:rsid w:val="0030508A"/>
    <w:rsid w:val="0030528D"/>
    <w:rsid w:val="00305D53"/>
    <w:rsid w:val="00306229"/>
    <w:rsid w:val="00310E17"/>
    <w:rsid w:val="00314147"/>
    <w:rsid w:val="003165D0"/>
    <w:rsid w:val="00317F8E"/>
    <w:rsid w:val="00321EA0"/>
    <w:rsid w:val="00325809"/>
    <w:rsid w:val="0032649A"/>
    <w:rsid w:val="003268C6"/>
    <w:rsid w:val="003348D5"/>
    <w:rsid w:val="003365C1"/>
    <w:rsid w:val="00336D3D"/>
    <w:rsid w:val="00344C54"/>
    <w:rsid w:val="0034583B"/>
    <w:rsid w:val="00350663"/>
    <w:rsid w:val="0035273A"/>
    <w:rsid w:val="0035314D"/>
    <w:rsid w:val="00355BCF"/>
    <w:rsid w:val="00360AA0"/>
    <w:rsid w:val="00362B4E"/>
    <w:rsid w:val="00367B51"/>
    <w:rsid w:val="00370E05"/>
    <w:rsid w:val="00373B1E"/>
    <w:rsid w:val="00376B1E"/>
    <w:rsid w:val="0037741C"/>
    <w:rsid w:val="00382B14"/>
    <w:rsid w:val="00383A92"/>
    <w:rsid w:val="00383B14"/>
    <w:rsid w:val="00391F19"/>
    <w:rsid w:val="00392B3C"/>
    <w:rsid w:val="003A20BB"/>
    <w:rsid w:val="003A5392"/>
    <w:rsid w:val="003A58F2"/>
    <w:rsid w:val="003A7633"/>
    <w:rsid w:val="003B1F68"/>
    <w:rsid w:val="003B4924"/>
    <w:rsid w:val="003B5210"/>
    <w:rsid w:val="003C6737"/>
    <w:rsid w:val="003D077C"/>
    <w:rsid w:val="003D1762"/>
    <w:rsid w:val="003D4AFD"/>
    <w:rsid w:val="003D4F98"/>
    <w:rsid w:val="003D6DF5"/>
    <w:rsid w:val="003E09BC"/>
    <w:rsid w:val="003E2192"/>
    <w:rsid w:val="003E5937"/>
    <w:rsid w:val="003E5CFC"/>
    <w:rsid w:val="003F19FC"/>
    <w:rsid w:val="003F49D2"/>
    <w:rsid w:val="004039A7"/>
    <w:rsid w:val="00403A96"/>
    <w:rsid w:val="00404469"/>
    <w:rsid w:val="00405535"/>
    <w:rsid w:val="00411BB1"/>
    <w:rsid w:val="00412A21"/>
    <w:rsid w:val="00413973"/>
    <w:rsid w:val="00414126"/>
    <w:rsid w:val="00414BCC"/>
    <w:rsid w:val="00417422"/>
    <w:rsid w:val="004215B6"/>
    <w:rsid w:val="0042196F"/>
    <w:rsid w:val="00422A1A"/>
    <w:rsid w:val="00426117"/>
    <w:rsid w:val="004262B5"/>
    <w:rsid w:val="004313C3"/>
    <w:rsid w:val="004358D7"/>
    <w:rsid w:val="00437884"/>
    <w:rsid w:val="00442A19"/>
    <w:rsid w:val="00442A44"/>
    <w:rsid w:val="0044503A"/>
    <w:rsid w:val="00447102"/>
    <w:rsid w:val="00453D6C"/>
    <w:rsid w:val="00457A9F"/>
    <w:rsid w:val="004609CE"/>
    <w:rsid w:val="00461125"/>
    <w:rsid w:val="0046156E"/>
    <w:rsid w:val="00461609"/>
    <w:rsid w:val="0046221A"/>
    <w:rsid w:val="004641E9"/>
    <w:rsid w:val="00464275"/>
    <w:rsid w:val="00464F2D"/>
    <w:rsid w:val="00467654"/>
    <w:rsid w:val="00467E0A"/>
    <w:rsid w:val="00470937"/>
    <w:rsid w:val="00481B13"/>
    <w:rsid w:val="00485A6E"/>
    <w:rsid w:val="00485B72"/>
    <w:rsid w:val="004872B8"/>
    <w:rsid w:val="004907BF"/>
    <w:rsid w:val="004907C5"/>
    <w:rsid w:val="0049114D"/>
    <w:rsid w:val="004952B4"/>
    <w:rsid w:val="00495C41"/>
    <w:rsid w:val="00497BDD"/>
    <w:rsid w:val="004A2869"/>
    <w:rsid w:val="004A452C"/>
    <w:rsid w:val="004A5443"/>
    <w:rsid w:val="004B2022"/>
    <w:rsid w:val="004C005F"/>
    <w:rsid w:val="004C07B3"/>
    <w:rsid w:val="004C0F75"/>
    <w:rsid w:val="004C31D5"/>
    <w:rsid w:val="004C4C04"/>
    <w:rsid w:val="004C5253"/>
    <w:rsid w:val="004C5476"/>
    <w:rsid w:val="004C68ED"/>
    <w:rsid w:val="004C6C67"/>
    <w:rsid w:val="004D34DE"/>
    <w:rsid w:val="004D4881"/>
    <w:rsid w:val="004D5647"/>
    <w:rsid w:val="004E07A5"/>
    <w:rsid w:val="004E0BC1"/>
    <w:rsid w:val="004E0C55"/>
    <w:rsid w:val="004E2C3C"/>
    <w:rsid w:val="004E3448"/>
    <w:rsid w:val="004E5D7A"/>
    <w:rsid w:val="004E66E2"/>
    <w:rsid w:val="004E6A12"/>
    <w:rsid w:val="004E793A"/>
    <w:rsid w:val="004F0902"/>
    <w:rsid w:val="004F198F"/>
    <w:rsid w:val="004F2317"/>
    <w:rsid w:val="004F6034"/>
    <w:rsid w:val="004F603F"/>
    <w:rsid w:val="004F6769"/>
    <w:rsid w:val="004F6BC5"/>
    <w:rsid w:val="005002AB"/>
    <w:rsid w:val="005003B4"/>
    <w:rsid w:val="00503832"/>
    <w:rsid w:val="005038FD"/>
    <w:rsid w:val="00506F8E"/>
    <w:rsid w:val="005161C1"/>
    <w:rsid w:val="00517FBE"/>
    <w:rsid w:val="00521800"/>
    <w:rsid w:val="00535672"/>
    <w:rsid w:val="00544A56"/>
    <w:rsid w:val="0055087E"/>
    <w:rsid w:val="005528D6"/>
    <w:rsid w:val="00552DF1"/>
    <w:rsid w:val="005550DD"/>
    <w:rsid w:val="005603C8"/>
    <w:rsid w:val="0056470F"/>
    <w:rsid w:val="0056518C"/>
    <w:rsid w:val="00565F8C"/>
    <w:rsid w:val="00566112"/>
    <w:rsid w:val="005847FC"/>
    <w:rsid w:val="0058574C"/>
    <w:rsid w:val="00585992"/>
    <w:rsid w:val="00586EC6"/>
    <w:rsid w:val="00587FFA"/>
    <w:rsid w:val="00591455"/>
    <w:rsid w:val="00593D24"/>
    <w:rsid w:val="00596800"/>
    <w:rsid w:val="005A3F64"/>
    <w:rsid w:val="005A593C"/>
    <w:rsid w:val="005A6802"/>
    <w:rsid w:val="005B07A3"/>
    <w:rsid w:val="005B2F54"/>
    <w:rsid w:val="005B41B4"/>
    <w:rsid w:val="005B77A6"/>
    <w:rsid w:val="005C005B"/>
    <w:rsid w:val="005C418C"/>
    <w:rsid w:val="005C4650"/>
    <w:rsid w:val="005C6D75"/>
    <w:rsid w:val="005C7DE2"/>
    <w:rsid w:val="005D07AA"/>
    <w:rsid w:val="005D4BAC"/>
    <w:rsid w:val="005D6927"/>
    <w:rsid w:val="005D77AE"/>
    <w:rsid w:val="005D7C3E"/>
    <w:rsid w:val="005E431D"/>
    <w:rsid w:val="005E64A0"/>
    <w:rsid w:val="005E79D6"/>
    <w:rsid w:val="005F1215"/>
    <w:rsid w:val="005F2146"/>
    <w:rsid w:val="005F250B"/>
    <w:rsid w:val="005F2A72"/>
    <w:rsid w:val="005F4787"/>
    <w:rsid w:val="0060557B"/>
    <w:rsid w:val="00622D76"/>
    <w:rsid w:val="00625F38"/>
    <w:rsid w:val="0063091C"/>
    <w:rsid w:val="006341EE"/>
    <w:rsid w:val="006379F6"/>
    <w:rsid w:val="00643548"/>
    <w:rsid w:val="00643861"/>
    <w:rsid w:val="00645406"/>
    <w:rsid w:val="006500C7"/>
    <w:rsid w:val="00650BB5"/>
    <w:rsid w:val="006577D1"/>
    <w:rsid w:val="006579FD"/>
    <w:rsid w:val="00661840"/>
    <w:rsid w:val="00661AE1"/>
    <w:rsid w:val="00665A05"/>
    <w:rsid w:val="00671E86"/>
    <w:rsid w:val="006731AF"/>
    <w:rsid w:val="00675B0D"/>
    <w:rsid w:val="00676818"/>
    <w:rsid w:val="0067734B"/>
    <w:rsid w:val="00680E2B"/>
    <w:rsid w:val="00680E64"/>
    <w:rsid w:val="006811CE"/>
    <w:rsid w:val="00683C2C"/>
    <w:rsid w:val="00684339"/>
    <w:rsid w:val="006845DE"/>
    <w:rsid w:val="006857D0"/>
    <w:rsid w:val="00687159"/>
    <w:rsid w:val="00687D6F"/>
    <w:rsid w:val="00691E2D"/>
    <w:rsid w:val="0069340C"/>
    <w:rsid w:val="006946DE"/>
    <w:rsid w:val="00697E0D"/>
    <w:rsid w:val="006A117E"/>
    <w:rsid w:val="006A45A2"/>
    <w:rsid w:val="006A4897"/>
    <w:rsid w:val="006B38C1"/>
    <w:rsid w:val="006B3AAD"/>
    <w:rsid w:val="006B6050"/>
    <w:rsid w:val="006D074A"/>
    <w:rsid w:val="006E0FD0"/>
    <w:rsid w:val="006E124D"/>
    <w:rsid w:val="006E4316"/>
    <w:rsid w:val="006E524D"/>
    <w:rsid w:val="006F6733"/>
    <w:rsid w:val="00700F63"/>
    <w:rsid w:val="007034E3"/>
    <w:rsid w:val="00704202"/>
    <w:rsid w:val="00704307"/>
    <w:rsid w:val="007046A5"/>
    <w:rsid w:val="007115DC"/>
    <w:rsid w:val="00717720"/>
    <w:rsid w:val="00720C6D"/>
    <w:rsid w:val="00722D18"/>
    <w:rsid w:val="00725C29"/>
    <w:rsid w:val="0072675A"/>
    <w:rsid w:val="007327C8"/>
    <w:rsid w:val="007329EE"/>
    <w:rsid w:val="007339D5"/>
    <w:rsid w:val="00735A69"/>
    <w:rsid w:val="00735CD1"/>
    <w:rsid w:val="00736C78"/>
    <w:rsid w:val="007442AD"/>
    <w:rsid w:val="00744E9A"/>
    <w:rsid w:val="0075245C"/>
    <w:rsid w:val="00752A0F"/>
    <w:rsid w:val="00752D59"/>
    <w:rsid w:val="00754AF5"/>
    <w:rsid w:val="00755A0C"/>
    <w:rsid w:val="0076004C"/>
    <w:rsid w:val="00760244"/>
    <w:rsid w:val="007615DC"/>
    <w:rsid w:val="007620CA"/>
    <w:rsid w:val="00763AA4"/>
    <w:rsid w:val="00764E76"/>
    <w:rsid w:val="0078279B"/>
    <w:rsid w:val="00782AF9"/>
    <w:rsid w:val="007831B3"/>
    <w:rsid w:val="007873A2"/>
    <w:rsid w:val="0078783F"/>
    <w:rsid w:val="007908C5"/>
    <w:rsid w:val="00790C68"/>
    <w:rsid w:val="007917D9"/>
    <w:rsid w:val="0079547F"/>
    <w:rsid w:val="007A0F46"/>
    <w:rsid w:val="007A2373"/>
    <w:rsid w:val="007A367B"/>
    <w:rsid w:val="007A60EB"/>
    <w:rsid w:val="007A6ED1"/>
    <w:rsid w:val="007B13DF"/>
    <w:rsid w:val="007B2781"/>
    <w:rsid w:val="007B2B0D"/>
    <w:rsid w:val="007B6FAF"/>
    <w:rsid w:val="007C0127"/>
    <w:rsid w:val="007C73EC"/>
    <w:rsid w:val="007C7E33"/>
    <w:rsid w:val="007D1A86"/>
    <w:rsid w:val="007D2830"/>
    <w:rsid w:val="007D33A0"/>
    <w:rsid w:val="007D4FCA"/>
    <w:rsid w:val="007D5464"/>
    <w:rsid w:val="007E285E"/>
    <w:rsid w:val="007E63FB"/>
    <w:rsid w:val="007E79E3"/>
    <w:rsid w:val="007F1654"/>
    <w:rsid w:val="007F2204"/>
    <w:rsid w:val="007F343A"/>
    <w:rsid w:val="007F693B"/>
    <w:rsid w:val="007F763E"/>
    <w:rsid w:val="00800DED"/>
    <w:rsid w:val="00802A7C"/>
    <w:rsid w:val="0080358E"/>
    <w:rsid w:val="008105C6"/>
    <w:rsid w:val="0081069C"/>
    <w:rsid w:val="0081208C"/>
    <w:rsid w:val="008124B1"/>
    <w:rsid w:val="008136FF"/>
    <w:rsid w:val="00814588"/>
    <w:rsid w:val="0081489D"/>
    <w:rsid w:val="008148EB"/>
    <w:rsid w:val="008159D5"/>
    <w:rsid w:val="00817816"/>
    <w:rsid w:val="0082165D"/>
    <w:rsid w:val="00821CD8"/>
    <w:rsid w:val="00821FAD"/>
    <w:rsid w:val="00823922"/>
    <w:rsid w:val="0082620C"/>
    <w:rsid w:val="00833ACF"/>
    <w:rsid w:val="00835953"/>
    <w:rsid w:val="008363A6"/>
    <w:rsid w:val="00840AA2"/>
    <w:rsid w:val="008504E4"/>
    <w:rsid w:val="00851E92"/>
    <w:rsid w:val="00853C3C"/>
    <w:rsid w:val="008550A3"/>
    <w:rsid w:val="0085655C"/>
    <w:rsid w:val="008569FD"/>
    <w:rsid w:val="008642C3"/>
    <w:rsid w:val="00864B55"/>
    <w:rsid w:val="00865BAE"/>
    <w:rsid w:val="008662C1"/>
    <w:rsid w:val="00872CE0"/>
    <w:rsid w:val="008732B5"/>
    <w:rsid w:val="0087347F"/>
    <w:rsid w:val="00875733"/>
    <w:rsid w:val="00875C69"/>
    <w:rsid w:val="00877F64"/>
    <w:rsid w:val="00881D37"/>
    <w:rsid w:val="00885F3E"/>
    <w:rsid w:val="00886499"/>
    <w:rsid w:val="00890E08"/>
    <w:rsid w:val="00892CE0"/>
    <w:rsid w:val="00894CF7"/>
    <w:rsid w:val="008A0851"/>
    <w:rsid w:val="008A1DF6"/>
    <w:rsid w:val="008A465F"/>
    <w:rsid w:val="008A7334"/>
    <w:rsid w:val="008B027A"/>
    <w:rsid w:val="008B07C8"/>
    <w:rsid w:val="008B1378"/>
    <w:rsid w:val="008B25A7"/>
    <w:rsid w:val="008B2912"/>
    <w:rsid w:val="008B3749"/>
    <w:rsid w:val="008B49BF"/>
    <w:rsid w:val="008B5071"/>
    <w:rsid w:val="008B59D3"/>
    <w:rsid w:val="008B6F19"/>
    <w:rsid w:val="008C4118"/>
    <w:rsid w:val="008C7A6B"/>
    <w:rsid w:val="008C7D32"/>
    <w:rsid w:val="008D3287"/>
    <w:rsid w:val="008D36A4"/>
    <w:rsid w:val="008D5592"/>
    <w:rsid w:val="008D63E6"/>
    <w:rsid w:val="008D6A38"/>
    <w:rsid w:val="008D7F70"/>
    <w:rsid w:val="008E210F"/>
    <w:rsid w:val="008F0093"/>
    <w:rsid w:val="008F1F2F"/>
    <w:rsid w:val="008F3530"/>
    <w:rsid w:val="008F4E6D"/>
    <w:rsid w:val="008F6E7A"/>
    <w:rsid w:val="009002E7"/>
    <w:rsid w:val="009044B3"/>
    <w:rsid w:val="0090467A"/>
    <w:rsid w:val="00904C6B"/>
    <w:rsid w:val="00905605"/>
    <w:rsid w:val="009079E9"/>
    <w:rsid w:val="00910188"/>
    <w:rsid w:val="00911396"/>
    <w:rsid w:val="00913477"/>
    <w:rsid w:val="00913D39"/>
    <w:rsid w:val="0091450B"/>
    <w:rsid w:val="00916201"/>
    <w:rsid w:val="0091664B"/>
    <w:rsid w:val="009175DC"/>
    <w:rsid w:val="009236EB"/>
    <w:rsid w:val="00923738"/>
    <w:rsid w:val="00927D03"/>
    <w:rsid w:val="00930404"/>
    <w:rsid w:val="009314B3"/>
    <w:rsid w:val="00933E4A"/>
    <w:rsid w:val="0093417F"/>
    <w:rsid w:val="009371D2"/>
    <w:rsid w:val="00937AFA"/>
    <w:rsid w:val="009415C7"/>
    <w:rsid w:val="0094659A"/>
    <w:rsid w:val="00947592"/>
    <w:rsid w:val="00951DA6"/>
    <w:rsid w:val="0096252D"/>
    <w:rsid w:val="00965A1A"/>
    <w:rsid w:val="0097125B"/>
    <w:rsid w:val="00974B45"/>
    <w:rsid w:val="00974F17"/>
    <w:rsid w:val="009771AB"/>
    <w:rsid w:val="00977D02"/>
    <w:rsid w:val="009800C1"/>
    <w:rsid w:val="00981110"/>
    <w:rsid w:val="00982375"/>
    <w:rsid w:val="00983CAC"/>
    <w:rsid w:val="00985425"/>
    <w:rsid w:val="00986FF2"/>
    <w:rsid w:val="00987063"/>
    <w:rsid w:val="009870DF"/>
    <w:rsid w:val="00987214"/>
    <w:rsid w:val="0099266C"/>
    <w:rsid w:val="00993B3A"/>
    <w:rsid w:val="0099461B"/>
    <w:rsid w:val="00996AA9"/>
    <w:rsid w:val="00996E1F"/>
    <w:rsid w:val="00997AB5"/>
    <w:rsid w:val="009A6745"/>
    <w:rsid w:val="009A6FEA"/>
    <w:rsid w:val="009B05E9"/>
    <w:rsid w:val="009B1960"/>
    <w:rsid w:val="009B3792"/>
    <w:rsid w:val="009C18D9"/>
    <w:rsid w:val="009C23E6"/>
    <w:rsid w:val="009C3955"/>
    <w:rsid w:val="009C43C3"/>
    <w:rsid w:val="009C4678"/>
    <w:rsid w:val="009E2352"/>
    <w:rsid w:val="009E5C07"/>
    <w:rsid w:val="009E7697"/>
    <w:rsid w:val="009F0493"/>
    <w:rsid w:val="009F29AD"/>
    <w:rsid w:val="00A00C3C"/>
    <w:rsid w:val="00A01BF5"/>
    <w:rsid w:val="00A01D57"/>
    <w:rsid w:val="00A03B33"/>
    <w:rsid w:val="00A04D98"/>
    <w:rsid w:val="00A05A88"/>
    <w:rsid w:val="00A05DBD"/>
    <w:rsid w:val="00A0604E"/>
    <w:rsid w:val="00A11713"/>
    <w:rsid w:val="00A141D2"/>
    <w:rsid w:val="00A20F3A"/>
    <w:rsid w:val="00A21570"/>
    <w:rsid w:val="00A229D5"/>
    <w:rsid w:val="00A22FA1"/>
    <w:rsid w:val="00A23038"/>
    <w:rsid w:val="00A23149"/>
    <w:rsid w:val="00A2490E"/>
    <w:rsid w:val="00A278E1"/>
    <w:rsid w:val="00A27B7D"/>
    <w:rsid w:val="00A3135A"/>
    <w:rsid w:val="00A32197"/>
    <w:rsid w:val="00A36413"/>
    <w:rsid w:val="00A3673A"/>
    <w:rsid w:val="00A36C53"/>
    <w:rsid w:val="00A40174"/>
    <w:rsid w:val="00A41BE8"/>
    <w:rsid w:val="00A43507"/>
    <w:rsid w:val="00A44FF0"/>
    <w:rsid w:val="00A45D81"/>
    <w:rsid w:val="00A45F04"/>
    <w:rsid w:val="00A47240"/>
    <w:rsid w:val="00A50C15"/>
    <w:rsid w:val="00A51E04"/>
    <w:rsid w:val="00A578A1"/>
    <w:rsid w:val="00A57EAB"/>
    <w:rsid w:val="00A62372"/>
    <w:rsid w:val="00A63A9B"/>
    <w:rsid w:val="00A650A7"/>
    <w:rsid w:val="00A66301"/>
    <w:rsid w:val="00A66BC2"/>
    <w:rsid w:val="00A71F07"/>
    <w:rsid w:val="00A72CFF"/>
    <w:rsid w:val="00A73DF0"/>
    <w:rsid w:val="00A7539D"/>
    <w:rsid w:val="00A77478"/>
    <w:rsid w:val="00A80A59"/>
    <w:rsid w:val="00A830E9"/>
    <w:rsid w:val="00A84002"/>
    <w:rsid w:val="00A91852"/>
    <w:rsid w:val="00A91FE8"/>
    <w:rsid w:val="00A9300A"/>
    <w:rsid w:val="00A931BC"/>
    <w:rsid w:val="00A93754"/>
    <w:rsid w:val="00A93F16"/>
    <w:rsid w:val="00A9571D"/>
    <w:rsid w:val="00A97113"/>
    <w:rsid w:val="00AA0FE4"/>
    <w:rsid w:val="00AA52AB"/>
    <w:rsid w:val="00AA6A1F"/>
    <w:rsid w:val="00AB6D2A"/>
    <w:rsid w:val="00AC159F"/>
    <w:rsid w:val="00AC264B"/>
    <w:rsid w:val="00AC2E66"/>
    <w:rsid w:val="00AC3C14"/>
    <w:rsid w:val="00AC5A67"/>
    <w:rsid w:val="00AD1413"/>
    <w:rsid w:val="00AD7651"/>
    <w:rsid w:val="00AE0372"/>
    <w:rsid w:val="00AE596A"/>
    <w:rsid w:val="00AF1D1A"/>
    <w:rsid w:val="00AF56ED"/>
    <w:rsid w:val="00B00938"/>
    <w:rsid w:val="00B038C2"/>
    <w:rsid w:val="00B06D72"/>
    <w:rsid w:val="00B07B73"/>
    <w:rsid w:val="00B101D3"/>
    <w:rsid w:val="00B113FF"/>
    <w:rsid w:val="00B22043"/>
    <w:rsid w:val="00B223CA"/>
    <w:rsid w:val="00B2258E"/>
    <w:rsid w:val="00B22E8D"/>
    <w:rsid w:val="00B235AA"/>
    <w:rsid w:val="00B23FFA"/>
    <w:rsid w:val="00B24B2C"/>
    <w:rsid w:val="00B257A6"/>
    <w:rsid w:val="00B3439E"/>
    <w:rsid w:val="00B34E38"/>
    <w:rsid w:val="00B35B57"/>
    <w:rsid w:val="00B40A08"/>
    <w:rsid w:val="00B4170D"/>
    <w:rsid w:val="00B53505"/>
    <w:rsid w:val="00B57C5D"/>
    <w:rsid w:val="00B62E13"/>
    <w:rsid w:val="00B6759B"/>
    <w:rsid w:val="00B71413"/>
    <w:rsid w:val="00B80E3C"/>
    <w:rsid w:val="00B8471B"/>
    <w:rsid w:val="00B922C2"/>
    <w:rsid w:val="00B96DA5"/>
    <w:rsid w:val="00B9744A"/>
    <w:rsid w:val="00BA2382"/>
    <w:rsid w:val="00BA2884"/>
    <w:rsid w:val="00BA4811"/>
    <w:rsid w:val="00BB2240"/>
    <w:rsid w:val="00BB3B7F"/>
    <w:rsid w:val="00BB6864"/>
    <w:rsid w:val="00BB6E8E"/>
    <w:rsid w:val="00BB7AAC"/>
    <w:rsid w:val="00BC15A2"/>
    <w:rsid w:val="00BC26DD"/>
    <w:rsid w:val="00BC36A3"/>
    <w:rsid w:val="00BC41C8"/>
    <w:rsid w:val="00BC717B"/>
    <w:rsid w:val="00BD26D3"/>
    <w:rsid w:val="00BD4815"/>
    <w:rsid w:val="00BD4C0B"/>
    <w:rsid w:val="00BD6A25"/>
    <w:rsid w:val="00BD76C5"/>
    <w:rsid w:val="00BD7FA3"/>
    <w:rsid w:val="00BE0D14"/>
    <w:rsid w:val="00BE1D48"/>
    <w:rsid w:val="00BE5660"/>
    <w:rsid w:val="00BE5B8D"/>
    <w:rsid w:val="00BE66FB"/>
    <w:rsid w:val="00BF283C"/>
    <w:rsid w:val="00BF51C6"/>
    <w:rsid w:val="00BF593C"/>
    <w:rsid w:val="00BF63BB"/>
    <w:rsid w:val="00C00CB5"/>
    <w:rsid w:val="00C01B9D"/>
    <w:rsid w:val="00C029FD"/>
    <w:rsid w:val="00C0325F"/>
    <w:rsid w:val="00C05118"/>
    <w:rsid w:val="00C057DD"/>
    <w:rsid w:val="00C05820"/>
    <w:rsid w:val="00C06862"/>
    <w:rsid w:val="00C06CB1"/>
    <w:rsid w:val="00C06EFC"/>
    <w:rsid w:val="00C144B5"/>
    <w:rsid w:val="00C14B12"/>
    <w:rsid w:val="00C15283"/>
    <w:rsid w:val="00C17192"/>
    <w:rsid w:val="00C20832"/>
    <w:rsid w:val="00C2089D"/>
    <w:rsid w:val="00C22425"/>
    <w:rsid w:val="00C230CA"/>
    <w:rsid w:val="00C234C6"/>
    <w:rsid w:val="00C2355B"/>
    <w:rsid w:val="00C2672B"/>
    <w:rsid w:val="00C313B1"/>
    <w:rsid w:val="00C316B9"/>
    <w:rsid w:val="00C3691F"/>
    <w:rsid w:val="00C40AA5"/>
    <w:rsid w:val="00C42E10"/>
    <w:rsid w:val="00C433F3"/>
    <w:rsid w:val="00C439CA"/>
    <w:rsid w:val="00C44C53"/>
    <w:rsid w:val="00C464C7"/>
    <w:rsid w:val="00C465D3"/>
    <w:rsid w:val="00C512BB"/>
    <w:rsid w:val="00C531CB"/>
    <w:rsid w:val="00C53A03"/>
    <w:rsid w:val="00C5780C"/>
    <w:rsid w:val="00C6449D"/>
    <w:rsid w:val="00C645B4"/>
    <w:rsid w:val="00C841F7"/>
    <w:rsid w:val="00C86BF2"/>
    <w:rsid w:val="00C9029F"/>
    <w:rsid w:val="00C9056E"/>
    <w:rsid w:val="00C91AFF"/>
    <w:rsid w:val="00C92309"/>
    <w:rsid w:val="00C924D7"/>
    <w:rsid w:val="00C95299"/>
    <w:rsid w:val="00CB0D73"/>
    <w:rsid w:val="00CB6F68"/>
    <w:rsid w:val="00CB7247"/>
    <w:rsid w:val="00CC0A63"/>
    <w:rsid w:val="00CC4F5F"/>
    <w:rsid w:val="00CD09A5"/>
    <w:rsid w:val="00CD4BDB"/>
    <w:rsid w:val="00CD4C5A"/>
    <w:rsid w:val="00CD5979"/>
    <w:rsid w:val="00CD6D56"/>
    <w:rsid w:val="00CD7A11"/>
    <w:rsid w:val="00CE02DE"/>
    <w:rsid w:val="00CE185F"/>
    <w:rsid w:val="00CE24D5"/>
    <w:rsid w:val="00CE3236"/>
    <w:rsid w:val="00CE4646"/>
    <w:rsid w:val="00CE66E6"/>
    <w:rsid w:val="00CE69BB"/>
    <w:rsid w:val="00CF3451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3EA2"/>
    <w:rsid w:val="00D25476"/>
    <w:rsid w:val="00D2664E"/>
    <w:rsid w:val="00D31BD3"/>
    <w:rsid w:val="00D33D7D"/>
    <w:rsid w:val="00D36F54"/>
    <w:rsid w:val="00D3756A"/>
    <w:rsid w:val="00D37B3F"/>
    <w:rsid w:val="00D403C2"/>
    <w:rsid w:val="00D43DDD"/>
    <w:rsid w:val="00D5092B"/>
    <w:rsid w:val="00D543DA"/>
    <w:rsid w:val="00D5530C"/>
    <w:rsid w:val="00D55525"/>
    <w:rsid w:val="00D61C57"/>
    <w:rsid w:val="00D61CBF"/>
    <w:rsid w:val="00D62530"/>
    <w:rsid w:val="00D70313"/>
    <w:rsid w:val="00D72853"/>
    <w:rsid w:val="00D74BDC"/>
    <w:rsid w:val="00D74D11"/>
    <w:rsid w:val="00D775B2"/>
    <w:rsid w:val="00D77E27"/>
    <w:rsid w:val="00D80D25"/>
    <w:rsid w:val="00D83426"/>
    <w:rsid w:val="00D83776"/>
    <w:rsid w:val="00D84022"/>
    <w:rsid w:val="00D84393"/>
    <w:rsid w:val="00D85BB5"/>
    <w:rsid w:val="00D863F4"/>
    <w:rsid w:val="00D9026E"/>
    <w:rsid w:val="00D94351"/>
    <w:rsid w:val="00DA0F22"/>
    <w:rsid w:val="00DA2D02"/>
    <w:rsid w:val="00DB0F37"/>
    <w:rsid w:val="00DB1175"/>
    <w:rsid w:val="00DB1536"/>
    <w:rsid w:val="00DB222E"/>
    <w:rsid w:val="00DB3D18"/>
    <w:rsid w:val="00DB44C1"/>
    <w:rsid w:val="00DB4613"/>
    <w:rsid w:val="00DB7666"/>
    <w:rsid w:val="00DC41C8"/>
    <w:rsid w:val="00DC6B8B"/>
    <w:rsid w:val="00DD5F6C"/>
    <w:rsid w:val="00DE2424"/>
    <w:rsid w:val="00DF3B18"/>
    <w:rsid w:val="00DF3BAE"/>
    <w:rsid w:val="00DF6280"/>
    <w:rsid w:val="00E00405"/>
    <w:rsid w:val="00E03100"/>
    <w:rsid w:val="00E07317"/>
    <w:rsid w:val="00E12A09"/>
    <w:rsid w:val="00E14B78"/>
    <w:rsid w:val="00E15042"/>
    <w:rsid w:val="00E260AF"/>
    <w:rsid w:val="00E26961"/>
    <w:rsid w:val="00E323EE"/>
    <w:rsid w:val="00E32E43"/>
    <w:rsid w:val="00E401A1"/>
    <w:rsid w:val="00E412D8"/>
    <w:rsid w:val="00E43932"/>
    <w:rsid w:val="00E56471"/>
    <w:rsid w:val="00E56CD9"/>
    <w:rsid w:val="00E61AE1"/>
    <w:rsid w:val="00E642E5"/>
    <w:rsid w:val="00E64C12"/>
    <w:rsid w:val="00E714A5"/>
    <w:rsid w:val="00E76010"/>
    <w:rsid w:val="00E81EA5"/>
    <w:rsid w:val="00E87DD4"/>
    <w:rsid w:val="00E90D96"/>
    <w:rsid w:val="00E91B29"/>
    <w:rsid w:val="00E9276F"/>
    <w:rsid w:val="00E94E72"/>
    <w:rsid w:val="00EA0008"/>
    <w:rsid w:val="00EA0DAE"/>
    <w:rsid w:val="00EA278B"/>
    <w:rsid w:val="00EA506D"/>
    <w:rsid w:val="00EB1A3A"/>
    <w:rsid w:val="00EB1E5F"/>
    <w:rsid w:val="00EC4F82"/>
    <w:rsid w:val="00EC5A9E"/>
    <w:rsid w:val="00ED00BA"/>
    <w:rsid w:val="00ED245B"/>
    <w:rsid w:val="00ED363B"/>
    <w:rsid w:val="00ED53C5"/>
    <w:rsid w:val="00EE455D"/>
    <w:rsid w:val="00EE4936"/>
    <w:rsid w:val="00EE495E"/>
    <w:rsid w:val="00EE5F5E"/>
    <w:rsid w:val="00EF367E"/>
    <w:rsid w:val="00EF5E4A"/>
    <w:rsid w:val="00EF7AF9"/>
    <w:rsid w:val="00F0235B"/>
    <w:rsid w:val="00F026FC"/>
    <w:rsid w:val="00F06C59"/>
    <w:rsid w:val="00F079B1"/>
    <w:rsid w:val="00F07CEB"/>
    <w:rsid w:val="00F10619"/>
    <w:rsid w:val="00F1226D"/>
    <w:rsid w:val="00F1475C"/>
    <w:rsid w:val="00F14FE5"/>
    <w:rsid w:val="00F16C57"/>
    <w:rsid w:val="00F20123"/>
    <w:rsid w:val="00F2033C"/>
    <w:rsid w:val="00F20F03"/>
    <w:rsid w:val="00F22319"/>
    <w:rsid w:val="00F23649"/>
    <w:rsid w:val="00F26CD8"/>
    <w:rsid w:val="00F35045"/>
    <w:rsid w:val="00F36277"/>
    <w:rsid w:val="00F461AE"/>
    <w:rsid w:val="00F56399"/>
    <w:rsid w:val="00F64572"/>
    <w:rsid w:val="00F65E66"/>
    <w:rsid w:val="00F65FF0"/>
    <w:rsid w:val="00F7021A"/>
    <w:rsid w:val="00F706C0"/>
    <w:rsid w:val="00F72E8E"/>
    <w:rsid w:val="00F739A7"/>
    <w:rsid w:val="00F74667"/>
    <w:rsid w:val="00F74A88"/>
    <w:rsid w:val="00F76358"/>
    <w:rsid w:val="00F82574"/>
    <w:rsid w:val="00F835A6"/>
    <w:rsid w:val="00F854DE"/>
    <w:rsid w:val="00F86A68"/>
    <w:rsid w:val="00F905B9"/>
    <w:rsid w:val="00F91AF2"/>
    <w:rsid w:val="00F93732"/>
    <w:rsid w:val="00F937CF"/>
    <w:rsid w:val="00F93F43"/>
    <w:rsid w:val="00F96722"/>
    <w:rsid w:val="00FA0473"/>
    <w:rsid w:val="00FA0943"/>
    <w:rsid w:val="00FA1202"/>
    <w:rsid w:val="00FA3BD4"/>
    <w:rsid w:val="00FA4878"/>
    <w:rsid w:val="00FA4C17"/>
    <w:rsid w:val="00FA6A68"/>
    <w:rsid w:val="00FA6B7B"/>
    <w:rsid w:val="00FA6F74"/>
    <w:rsid w:val="00FA7494"/>
    <w:rsid w:val="00FA7C9D"/>
    <w:rsid w:val="00FB0F1F"/>
    <w:rsid w:val="00FB293B"/>
    <w:rsid w:val="00FB3966"/>
    <w:rsid w:val="00FB4A30"/>
    <w:rsid w:val="00FB4C2E"/>
    <w:rsid w:val="00FC5057"/>
    <w:rsid w:val="00FD1A8D"/>
    <w:rsid w:val="00FD23D7"/>
    <w:rsid w:val="00FD4FBC"/>
    <w:rsid w:val="00FD54D0"/>
    <w:rsid w:val="00FD554E"/>
    <w:rsid w:val="00FE2897"/>
    <w:rsid w:val="00FE5B39"/>
    <w:rsid w:val="00FE7554"/>
    <w:rsid w:val="00FE7EE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E303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character" w:styleId="BesuchterHyperlink">
    <w:name w:val="FollowedHyperlink"/>
    <w:basedOn w:val="Absatz-Standardschriftart"/>
    <w:uiPriority w:val="99"/>
    <w:semiHidden/>
    <w:unhideWhenUsed/>
    <w:rsid w:val="004F6BC5"/>
    <w:rPr>
      <w:color w:val="800080" w:themeColor="followedHyperlink"/>
      <w:u w:val="single"/>
    </w:rPr>
  </w:style>
  <w:style w:type="character" w:customStyle="1" w:styleId="tweetquote">
    <w:name w:val="tweet_quote"/>
    <w:basedOn w:val="Absatz-Standardschriftart"/>
    <w:rsid w:val="00517FBE"/>
  </w:style>
  <w:style w:type="paragraph" w:customStyle="1" w:styleId="Sub-headers">
    <w:name w:val="Sub-headers"/>
    <w:basedOn w:val="Standard"/>
    <w:link w:val="Sub-headersCar"/>
    <w:qFormat/>
    <w:rsid w:val="00821FAD"/>
    <w:pPr>
      <w:jc w:val="both"/>
    </w:pPr>
    <w:rPr>
      <w:rFonts w:asciiTheme="minorHAnsi" w:eastAsiaTheme="minorHAnsi" w:hAnsiTheme="minorHAnsi"/>
      <w:b/>
      <w:lang w:val="en-GB"/>
    </w:rPr>
  </w:style>
  <w:style w:type="character" w:customStyle="1" w:styleId="Sub-headersCar">
    <w:name w:val="Sub-headers Car"/>
    <w:basedOn w:val="Absatz-Standardschriftart"/>
    <w:link w:val="Sub-headers"/>
    <w:rsid w:val="00821FAD"/>
    <w:rPr>
      <w:rFonts w:asciiTheme="minorHAnsi" w:eastAsiaTheme="minorHAnsi" w:hAnsiTheme="minorHAnsi"/>
      <w:b/>
      <w:sz w:val="22"/>
      <w:szCs w:val="24"/>
      <w:lang w:val="en-GB" w:eastAsia="en-GB"/>
    </w:rPr>
  </w:style>
  <w:style w:type="character" w:customStyle="1" w:styleId="st">
    <w:name w:val="st"/>
    <w:basedOn w:val="Absatz-Standardschriftart"/>
    <w:rsid w:val="00AC159F"/>
  </w:style>
  <w:style w:type="paragraph" w:styleId="Endnotentext">
    <w:name w:val="endnote text"/>
    <w:basedOn w:val="Standard"/>
    <w:link w:val="EndnotentextZchn"/>
    <w:uiPriority w:val="99"/>
    <w:semiHidden/>
    <w:unhideWhenUsed/>
    <w:rsid w:val="00B8471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471B"/>
    <w:rPr>
      <w:rFonts w:eastAsia="Calibri"/>
      <w:lang w:val="de-DE"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B8471B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6CEC"/>
    <w:rPr>
      <w:rFonts w:ascii="Courier New" w:hAnsi="Courier New" w:cs="Courier New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B48"/>
    <w:rPr>
      <w:color w:val="808080"/>
      <w:shd w:val="clear" w:color="auto" w:fill="E6E6E6"/>
    </w:rPr>
  </w:style>
  <w:style w:type="character" w:customStyle="1" w:styleId="placeholderend21">
    <w:name w:val="placeholder_end21"/>
    <w:basedOn w:val="Absatz-Standardschriftart"/>
    <w:rsid w:val="00F74A88"/>
    <w:rPr>
      <w:vanish/>
      <w:webHidden w:val="0"/>
      <w:specVanish w:val="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79FD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2B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character" w:styleId="BesuchterHyperlink">
    <w:name w:val="FollowedHyperlink"/>
    <w:basedOn w:val="Absatz-Standardschriftart"/>
    <w:uiPriority w:val="99"/>
    <w:semiHidden/>
    <w:unhideWhenUsed/>
    <w:rsid w:val="004F6BC5"/>
    <w:rPr>
      <w:color w:val="800080" w:themeColor="followedHyperlink"/>
      <w:u w:val="single"/>
    </w:rPr>
  </w:style>
  <w:style w:type="character" w:customStyle="1" w:styleId="tweetquote">
    <w:name w:val="tweet_quote"/>
    <w:basedOn w:val="Absatz-Standardschriftart"/>
    <w:rsid w:val="00517FBE"/>
  </w:style>
  <w:style w:type="paragraph" w:customStyle="1" w:styleId="Sub-headers">
    <w:name w:val="Sub-headers"/>
    <w:basedOn w:val="Standard"/>
    <w:link w:val="Sub-headersCar"/>
    <w:qFormat/>
    <w:rsid w:val="00821FAD"/>
    <w:pPr>
      <w:jc w:val="both"/>
    </w:pPr>
    <w:rPr>
      <w:rFonts w:asciiTheme="minorHAnsi" w:eastAsiaTheme="minorHAnsi" w:hAnsiTheme="minorHAnsi"/>
      <w:b/>
      <w:lang w:val="en-GB"/>
    </w:rPr>
  </w:style>
  <w:style w:type="character" w:customStyle="1" w:styleId="Sub-headersCar">
    <w:name w:val="Sub-headers Car"/>
    <w:basedOn w:val="Absatz-Standardschriftart"/>
    <w:link w:val="Sub-headers"/>
    <w:rsid w:val="00821FAD"/>
    <w:rPr>
      <w:rFonts w:asciiTheme="minorHAnsi" w:eastAsiaTheme="minorHAnsi" w:hAnsiTheme="minorHAnsi"/>
      <w:b/>
      <w:sz w:val="22"/>
      <w:szCs w:val="24"/>
      <w:lang w:val="en-GB" w:eastAsia="en-GB"/>
    </w:rPr>
  </w:style>
  <w:style w:type="character" w:customStyle="1" w:styleId="st">
    <w:name w:val="st"/>
    <w:basedOn w:val="Absatz-Standardschriftart"/>
    <w:rsid w:val="00AC159F"/>
  </w:style>
  <w:style w:type="paragraph" w:styleId="Endnotentext">
    <w:name w:val="endnote text"/>
    <w:basedOn w:val="Standard"/>
    <w:link w:val="EndnotentextZchn"/>
    <w:uiPriority w:val="99"/>
    <w:semiHidden/>
    <w:unhideWhenUsed/>
    <w:rsid w:val="00B8471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471B"/>
    <w:rPr>
      <w:rFonts w:eastAsia="Calibri"/>
      <w:lang w:val="de-DE"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B8471B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6CEC"/>
    <w:rPr>
      <w:rFonts w:ascii="Courier New" w:hAnsi="Courier New" w:cs="Courier New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B48"/>
    <w:rPr>
      <w:color w:val="808080"/>
      <w:shd w:val="clear" w:color="auto" w:fill="E6E6E6"/>
    </w:rPr>
  </w:style>
  <w:style w:type="character" w:customStyle="1" w:styleId="placeholderend21">
    <w:name w:val="placeholder_end21"/>
    <w:basedOn w:val="Absatz-Standardschriftart"/>
    <w:rsid w:val="00F74A88"/>
    <w:rPr>
      <w:vanish/>
      <w:webHidden w:val="0"/>
      <w:specVanish w:val="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79FD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2B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12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egenci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gencia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gencia.com/public/de/campaigns/gbta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a.mcelroyarnaud@egencia.com" TargetMode="External"/><Relationship Id="rId10" Type="http://schemas.openxmlformats.org/officeDocument/2006/relationships/hyperlink" Target="https://www.egencia.com/public/de/egencia-loesungen/unsere-leistungstrag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witter.com/egenciad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rtify.com/Webinar-T-and-E-Expense-Trends-Benchmark-Spending-2017.aspx" TargetMode="External"/><Relationship Id="rId2" Type="http://schemas.openxmlformats.org/officeDocument/2006/relationships/hyperlink" Target="http://www.gbta.org/foundation/pressreleases/Pages/rls_071817.aspx" TargetMode="External"/><Relationship Id="rId1" Type="http://schemas.openxmlformats.org/officeDocument/2006/relationships/hyperlink" Target="http://www.gbta.org/PressReleases/Pages/rls_110514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F4D3-3C3C-4D4E-9247-7E6216319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0F2EC-57E2-4830-8873-4746DA8E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</Template>
  <TotalTime>0</TotalTime>
  <Pages>3</Pages>
  <Words>996</Words>
  <Characters>6277</Characters>
  <Application>Microsoft Office Word</Application>
  <DocSecurity>0</DocSecurity>
  <Lines>52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7259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Carolin Campe</cp:lastModifiedBy>
  <cp:revision>5</cp:revision>
  <cp:lastPrinted>2013-04-22T02:22:00Z</cp:lastPrinted>
  <dcterms:created xsi:type="dcterms:W3CDTF">2017-10-16T10:02:00Z</dcterms:created>
  <dcterms:modified xsi:type="dcterms:W3CDTF">2017-10-18T19:53:00Z</dcterms:modified>
</cp:coreProperties>
</file>